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44425">
      <w:pPr>
        <w:pStyle w:val="52"/>
        <w:spacing w:line="360" w:lineRule="auto"/>
        <w:jc w:val="center"/>
        <w:outlineLvl w:val="0"/>
        <w:rPr>
          <w:rFonts w:ascii="仿宋" w:hAnsi="仿宋" w:eastAsia="仿宋"/>
          <w:b/>
          <w:color w:val="auto"/>
          <w:sz w:val="44"/>
          <w:szCs w:val="44"/>
        </w:rPr>
      </w:pPr>
      <w:bookmarkStart w:id="0" w:name="_Toc170798743"/>
      <w:bookmarkStart w:id="1" w:name="_Toc267059633"/>
      <w:bookmarkStart w:id="2" w:name="_Toc217891359"/>
      <w:bookmarkStart w:id="3" w:name="_Toc259692693"/>
      <w:bookmarkStart w:id="4" w:name="_Toc267060162"/>
      <w:bookmarkStart w:id="5" w:name="_Toc267059010"/>
      <w:bookmarkStart w:id="6" w:name="_Toc211937196"/>
      <w:bookmarkStart w:id="7" w:name="_Toc267059899"/>
      <w:bookmarkStart w:id="8" w:name="_Toc177985424"/>
      <w:bookmarkStart w:id="9" w:name="_Toc267060022"/>
      <w:bookmarkStart w:id="10" w:name="_Toc212526081"/>
      <w:bookmarkStart w:id="11" w:name="_Toc251613780"/>
      <w:bookmarkStart w:id="12" w:name="_Toc254790852"/>
      <w:bookmarkStart w:id="13" w:name="_Toc259520819"/>
      <w:bookmarkStart w:id="14" w:name="_Toc219800200"/>
      <w:bookmarkStart w:id="15" w:name="_Toc255974963"/>
      <w:bookmarkStart w:id="16" w:name="_Toc258401210"/>
      <w:bookmarkStart w:id="17" w:name="_Toc267059519"/>
      <w:bookmarkStart w:id="18" w:name="_Toc259692600"/>
      <w:bookmarkStart w:id="19" w:name="_Toc235437942"/>
      <w:bookmarkStart w:id="20" w:name="_Toc267060407"/>
      <w:bookmarkStart w:id="21" w:name="_Toc266868624"/>
      <w:bookmarkStart w:id="22" w:name="_Toc225669277"/>
      <w:bookmarkStart w:id="23" w:name="_Toc160880487"/>
      <w:bookmarkStart w:id="24" w:name="_Toc253066567"/>
      <w:bookmarkStart w:id="25" w:name="_Toc267059786"/>
      <w:bookmarkStart w:id="26" w:name="_Toc235438227"/>
      <w:bookmarkStart w:id="27" w:name="_Toc212456146"/>
      <w:bookmarkStart w:id="28" w:name="_Toc273178686"/>
      <w:bookmarkStart w:id="29" w:name="_Toc169332794"/>
      <w:bookmarkStart w:id="30" w:name="_Toc212454753"/>
      <w:bookmarkStart w:id="31" w:name="_Toc266870386"/>
      <w:bookmarkStart w:id="32" w:name="_Toc235438297"/>
      <w:bookmarkStart w:id="33" w:name="_Toc249325665"/>
      <w:bookmarkStart w:id="34" w:name="_Toc216241307"/>
      <w:bookmarkStart w:id="35" w:name="_Toc227058483"/>
      <w:bookmarkStart w:id="36" w:name="_Toc212530253"/>
      <w:bookmarkStart w:id="37" w:name="_Toc266868924"/>
      <w:bookmarkStart w:id="38" w:name="_Toc169332904"/>
      <w:bookmarkStart w:id="39" w:name="_Toc223146565"/>
      <w:bookmarkStart w:id="40" w:name="_Toc251586187"/>
      <w:bookmarkStart w:id="41" w:name="_Toc267059161"/>
      <w:bookmarkStart w:id="42" w:name="_Toc266870861"/>
      <w:bookmarkStart w:id="43" w:name="_Toc236021402"/>
      <w:bookmarkStart w:id="44" w:name="_Toc207014580"/>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14:paraId="5AEDB6F2">
      <w:pPr>
        <w:spacing w:after="0" w:line="500" w:lineRule="exact"/>
        <w:ind w:firstLine="480" w:firstLineChars="200"/>
        <w:rPr>
          <w:rFonts w:ascii="仿宋" w:hAnsi="仿宋" w:eastAsia="仿宋"/>
          <w:color w:val="000000"/>
          <w:sz w:val="24"/>
          <w:szCs w:val="24"/>
        </w:rPr>
      </w:pPr>
      <w:bookmarkStart w:id="45" w:name="_Hlk10840310"/>
      <w:r>
        <w:rPr>
          <w:rFonts w:hint="eastAsia" w:ascii="仿宋" w:hAnsi="仿宋" w:eastAsia="仿宋"/>
          <w:sz w:val="24"/>
          <w:szCs w:val="24"/>
          <w:lang w:eastAsia="zh-CN"/>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r>
        <w:rPr>
          <w:rFonts w:hint="eastAsia" w:ascii="仿宋" w:hAnsi="仿宋" w:eastAsia="仿宋"/>
          <w:sz w:val="24"/>
          <w:szCs w:val="24"/>
        </w:rPr>
        <w:t>根据需要，对本次项目进行公开询价，欢迎国内合格参与人参与</w:t>
      </w:r>
      <w:r>
        <w:rPr>
          <w:rFonts w:hint="eastAsia" w:ascii="仿宋" w:hAnsi="仿宋" w:eastAsia="仿宋"/>
          <w:color w:val="000000"/>
          <w:sz w:val="24"/>
          <w:szCs w:val="24"/>
        </w:rPr>
        <w:t>。</w:t>
      </w:r>
    </w:p>
    <w:p w14:paraId="698E7948">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14:paraId="40679685">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w:t>
      </w:r>
      <w:r>
        <w:rPr>
          <w:rFonts w:hint="eastAsia" w:ascii="仿宋" w:hAnsi="仿宋" w:eastAsia="仿宋"/>
          <w:color w:val="000000" w:themeColor="text1"/>
          <w:sz w:val="24"/>
          <w:szCs w:val="24"/>
          <w14:textFill>
            <w14:solidFill>
              <w14:schemeClr w14:val="tx1"/>
            </w14:solidFill>
          </w14:textFill>
        </w:rPr>
        <w:t>编号：</w:t>
      </w:r>
      <w:r>
        <w:rPr>
          <w:rFonts w:hint="eastAsia" w:ascii="仿宋" w:hAnsi="仿宋" w:eastAsia="仿宋"/>
          <w:color w:val="000000" w:themeColor="text1"/>
          <w:sz w:val="24"/>
          <w:szCs w:val="24"/>
          <w:lang w:eastAsia="zh-CN"/>
          <w14:textFill>
            <w14:solidFill>
              <w14:schemeClr w14:val="tx1"/>
            </w14:solidFill>
          </w14:textFill>
        </w:rPr>
        <w:t>WZ-XJ2024-24</w:t>
      </w:r>
    </w:p>
    <w:p w14:paraId="3B8C4E7B">
      <w:pPr>
        <w:widowControl w:val="0"/>
        <w:numPr>
          <w:ilvl w:val="1"/>
          <w:numId w:val="1"/>
        </w:numPr>
        <w:spacing w:after="0" w:line="500" w:lineRule="exact"/>
        <w:rPr>
          <w:rFonts w:hint="eastAsia" w:ascii="仿宋" w:hAnsi="仿宋" w:eastAsia="仿宋"/>
          <w:sz w:val="24"/>
          <w:szCs w:val="24"/>
        </w:rPr>
      </w:pPr>
      <w:r>
        <w:rPr>
          <w:rFonts w:hint="eastAsia" w:ascii="仿宋" w:hAnsi="仿宋" w:eastAsia="仿宋"/>
          <w:sz w:val="24"/>
          <w:szCs w:val="24"/>
        </w:rPr>
        <w:t>项目名称：广州应用科技学院</w:t>
      </w:r>
      <w:r>
        <w:rPr>
          <w:rFonts w:hint="eastAsia" w:ascii="仿宋" w:hAnsi="仿宋" w:eastAsia="仿宋"/>
          <w:sz w:val="24"/>
          <w:szCs w:val="24"/>
          <w:lang w:val="en-US" w:eastAsia="zh-CN"/>
        </w:rPr>
        <w:t>关于</w:t>
      </w:r>
      <w:r>
        <w:rPr>
          <w:rFonts w:hint="eastAsia" w:ascii="仿宋" w:hAnsi="仿宋" w:eastAsia="仿宋"/>
          <w:sz w:val="24"/>
          <w:szCs w:val="24"/>
          <w:lang w:eastAsia="zh-CN"/>
        </w:rPr>
        <w:t>虚拟仿真实务技能竞赛软件</w:t>
      </w:r>
      <w:r>
        <w:rPr>
          <w:rFonts w:hint="eastAsia" w:ascii="仿宋" w:hAnsi="仿宋" w:eastAsia="仿宋"/>
          <w:sz w:val="24"/>
          <w:szCs w:val="24"/>
        </w:rPr>
        <w:t>采购项目</w:t>
      </w:r>
    </w:p>
    <w:p w14:paraId="5CB601D5">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数量及主要技术要求</w:t>
      </w:r>
      <w:r>
        <w:rPr>
          <w:rFonts w:hint="eastAsia" w:ascii="仿宋" w:hAnsi="仿宋" w:eastAsia="仿宋"/>
          <w:sz w:val="24"/>
          <w:szCs w:val="24"/>
          <w:lang w:eastAsia="zh-CN"/>
        </w:rPr>
        <w:t>：</w:t>
      </w:r>
      <w:r>
        <w:rPr>
          <w:rFonts w:hint="eastAsia" w:ascii="仿宋" w:hAnsi="仿宋" w:eastAsia="仿宋"/>
          <w:sz w:val="24"/>
          <w:szCs w:val="24"/>
        </w:rPr>
        <w:t>详见《公开询价货物一览表》。</w:t>
      </w:r>
    </w:p>
    <w:p w14:paraId="636669D9">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参与人资格标准：</w:t>
      </w:r>
    </w:p>
    <w:p w14:paraId="47E4142A">
      <w:pPr>
        <w:widowControl w:val="0"/>
        <w:spacing w:after="0" w:line="500" w:lineRule="exact"/>
        <w:ind w:left="839"/>
        <w:rPr>
          <w:rFonts w:ascii="仿宋" w:hAnsi="仿宋" w:eastAsia="仿宋"/>
          <w:sz w:val="24"/>
          <w:szCs w:val="24"/>
        </w:rPr>
      </w:pPr>
      <w:r>
        <w:rPr>
          <w:rFonts w:hint="eastAsia" w:ascii="仿宋" w:hAnsi="仿宋" w:eastAsia="仿宋"/>
          <w:sz w:val="24"/>
          <w:szCs w:val="24"/>
        </w:rPr>
        <w:t>本项目不接受联合体参与并采用资格预审制，发布公告后，各潜在参与人提供以下相关证明资料（扫描件），经审核通过后方可参与。</w:t>
      </w:r>
    </w:p>
    <w:p w14:paraId="46029E6B">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在中国境内注册具有独立法人资格且注册时间超过三年，具有有效的营业执照、税务登记证、组织机构代码证或具有“三证合一”营业执照；</w:t>
      </w:r>
    </w:p>
    <w:p w14:paraId="07E97D86">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参与人为代理商的，则必须具有厂家针对所投主要产品的授权书及售后服务承诺书；</w:t>
      </w:r>
    </w:p>
    <w:p w14:paraId="6BEDA7DE">
      <w:pPr>
        <w:pStyle w:val="55"/>
        <w:numPr>
          <w:ilvl w:val="0"/>
          <w:numId w:val="2"/>
        </w:numPr>
        <w:spacing w:after="0" w:line="460" w:lineRule="exact"/>
        <w:ind w:left="1276" w:firstLineChars="0"/>
        <w:rPr>
          <w:rFonts w:hint="eastAsia" w:ascii="仿宋" w:hAnsi="仿宋" w:eastAsia="仿宋"/>
          <w:sz w:val="24"/>
          <w:szCs w:val="24"/>
        </w:rPr>
      </w:pPr>
      <w:r>
        <w:rPr>
          <w:rFonts w:hint="eastAsia" w:ascii="仿宋" w:hAnsi="仿宋" w:eastAsia="仿宋"/>
          <w:sz w:val="24"/>
          <w:szCs w:val="24"/>
        </w:rPr>
        <w:t>参与人在本公告发布之日起算的三年内，同时满足以下三个条件：1）未受到行政机关以下种类行政处罚的：暂扣许可证件、降低资质等级、吊销许可证件、限制开展生产经营活动、责令停产停业、责令关闭、限制从业；2）未处于或未曾经处于“失信被执行人”状态的；3）未处于或未曾经处于重大税收违法案件当事人名单或政府采购严重违法失信行为记录名单状态的。参与人需对以上情况提供《承诺书》，以及“信用中国”征信报告。</w:t>
      </w:r>
    </w:p>
    <w:p w14:paraId="35C9EC93">
      <w:pPr>
        <w:pStyle w:val="55"/>
        <w:numPr>
          <w:ilvl w:val="0"/>
          <w:numId w:val="2"/>
        </w:numPr>
        <w:spacing w:after="0" w:line="460" w:lineRule="exact"/>
        <w:ind w:left="1276" w:firstLineChars="0"/>
        <w:rPr>
          <w:rFonts w:ascii="仿宋" w:hAnsi="仿宋" w:eastAsia="仿宋"/>
          <w:sz w:val="24"/>
          <w:szCs w:val="24"/>
        </w:rPr>
      </w:pPr>
      <w:r>
        <w:rPr>
          <w:rFonts w:hint="eastAsia" w:ascii="仿宋" w:hAnsi="仿宋" w:eastAsia="仿宋"/>
          <w:sz w:val="24"/>
          <w:szCs w:val="24"/>
        </w:rPr>
        <w:t>法人授权函及被授权人身份证。</w:t>
      </w:r>
    </w:p>
    <w:p w14:paraId="44EF2E9F">
      <w:pPr>
        <w:pStyle w:val="55"/>
        <w:numPr>
          <w:ilvl w:val="0"/>
          <w:numId w:val="2"/>
        </w:numPr>
        <w:spacing w:after="0" w:line="460" w:lineRule="exact"/>
        <w:ind w:left="1276"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参与人应具有3年3个以上同类项目销售和良好的售后服务应用成功案例</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并</w:t>
      </w:r>
      <w:r>
        <w:rPr>
          <w:rFonts w:hint="eastAsia" w:ascii="仿宋" w:hAnsi="仿宋" w:eastAsia="仿宋"/>
          <w:color w:val="000000" w:themeColor="text1"/>
          <w:sz w:val="24"/>
          <w:szCs w:val="24"/>
          <w:lang w:val="en-US" w:eastAsia="zh-CN"/>
          <w14:textFill>
            <w14:solidFill>
              <w14:schemeClr w14:val="tx1"/>
            </w14:solidFill>
          </w14:textFill>
        </w:rPr>
        <w:t>提供</w:t>
      </w:r>
      <w:r>
        <w:rPr>
          <w:rFonts w:hint="eastAsia" w:ascii="仿宋" w:hAnsi="仿宋" w:eastAsia="仿宋"/>
          <w:color w:val="000000" w:themeColor="text1"/>
          <w:sz w:val="24"/>
          <w:szCs w:val="24"/>
          <w14:textFill>
            <w14:solidFill>
              <w14:schemeClr w14:val="tx1"/>
            </w14:solidFill>
          </w14:textFill>
        </w:rPr>
        <w:t>合同、付款凭证及发票</w:t>
      </w:r>
      <w:r>
        <w:rPr>
          <w:rFonts w:hint="eastAsia" w:ascii="仿宋" w:hAnsi="仿宋" w:eastAsia="仿宋"/>
          <w:color w:val="000000" w:themeColor="text1"/>
          <w:sz w:val="24"/>
          <w:szCs w:val="24"/>
          <w:lang w:eastAsia="zh-CN"/>
          <w14:textFill>
            <w14:solidFill>
              <w14:schemeClr w14:val="tx1"/>
            </w14:solidFill>
          </w14:textFill>
        </w:rPr>
        <w:t>。</w:t>
      </w:r>
    </w:p>
    <w:p w14:paraId="3BE11BD3">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资格预审</w:t>
      </w:r>
      <w:r>
        <w:rPr>
          <w:rFonts w:hint="eastAsia" w:ascii="仿宋" w:hAnsi="仿宋" w:eastAsia="仿宋"/>
          <w:sz w:val="24"/>
          <w:szCs w:val="24"/>
          <w:lang w:val="en-US" w:eastAsia="zh-CN"/>
        </w:rPr>
        <w:t>及报名</w:t>
      </w:r>
      <w:r>
        <w:rPr>
          <w:rFonts w:hint="eastAsia" w:ascii="仿宋" w:hAnsi="仿宋" w:eastAsia="仿宋"/>
          <w:sz w:val="24"/>
          <w:szCs w:val="24"/>
        </w:rPr>
        <w:t>：请参与人将以上第4条所列的证明材料以电子扫描件形式</w:t>
      </w:r>
      <w:r>
        <w:rPr>
          <w:rFonts w:hint="eastAsia" w:ascii="仿宋" w:hAnsi="仿宋" w:eastAsia="仿宋"/>
          <w:color w:val="000000" w:themeColor="text1"/>
          <w:sz w:val="24"/>
          <w:szCs w:val="24"/>
          <w14:textFill>
            <w14:solidFill>
              <w14:schemeClr w14:val="tx1"/>
            </w14:solidFill>
          </w14:textFill>
        </w:rPr>
        <w:t>发送</w:t>
      </w:r>
      <w:r>
        <w:rPr>
          <w:rFonts w:hint="eastAsia" w:ascii="仿宋" w:hAnsi="仿宋" w:eastAsia="仿宋"/>
          <w:color w:val="000000" w:themeColor="text1"/>
          <w:sz w:val="24"/>
          <w:szCs w:val="24"/>
          <w:lang w:val="en-US" w:eastAsia="zh-CN"/>
          <w14:textFill>
            <w14:solidFill>
              <w14:schemeClr w14:val="tx1"/>
            </w14:solidFill>
          </w14:textFill>
        </w:rPr>
        <w:t>至邮箱cgbgs@gzasc.edu.cn</w:t>
      </w:r>
      <w:r>
        <w:rPr>
          <w:rFonts w:hint="eastAsia" w:ascii="仿宋" w:hAnsi="仿宋" w:eastAsia="仿宋"/>
          <w:sz w:val="24"/>
          <w:szCs w:val="24"/>
        </w:rPr>
        <w:t>，审核通过后根据本项目联系人指引，</w:t>
      </w:r>
      <w:r>
        <w:rPr>
          <w:rFonts w:hint="eastAsia" w:ascii="仿宋" w:hAnsi="仿宋" w:eastAsia="仿宋"/>
          <w:b/>
          <w:bCs/>
          <w:sz w:val="24"/>
          <w:szCs w:val="24"/>
        </w:rPr>
        <w:t>注册中教集团SRM采购</w:t>
      </w:r>
      <w:r>
        <w:rPr>
          <w:rFonts w:hint="eastAsia" w:ascii="仿宋" w:hAnsi="仿宋" w:eastAsia="仿宋"/>
          <w:b/>
          <w:bCs/>
          <w:color w:val="000000" w:themeColor="text1"/>
          <w:sz w:val="24"/>
          <w:szCs w:val="24"/>
          <w14:textFill>
            <w14:solidFill>
              <w14:schemeClr w14:val="tx1"/>
            </w14:solidFill>
          </w14:textFill>
        </w:rPr>
        <w:t>平台</w:t>
      </w:r>
      <w:r>
        <w:rPr>
          <w:rFonts w:hint="eastAsia" w:ascii="仿宋" w:hAnsi="仿宋" w:eastAsia="仿宋"/>
          <w:b/>
          <w:bCs/>
          <w:color w:val="000000" w:themeColor="text1"/>
          <w:sz w:val="24"/>
          <w:szCs w:val="24"/>
          <w:lang w:eastAsia="zh-CN"/>
          <w14:textFill>
            <w14:solidFill>
              <w14:schemeClr w14:val="tx1"/>
            </w14:solidFill>
          </w14:textFill>
        </w:rPr>
        <w:t>，</w:t>
      </w:r>
      <w:r>
        <w:rPr>
          <w:rFonts w:hint="eastAsia" w:ascii="仿宋" w:hAnsi="仿宋" w:eastAsia="仿宋"/>
          <w:b/>
          <w:bCs/>
          <w:color w:val="000000" w:themeColor="text1"/>
          <w:sz w:val="24"/>
          <w:szCs w:val="24"/>
          <w:lang w:val="en-US" w:eastAsia="zh-CN"/>
          <w14:textFill>
            <w14:solidFill>
              <w14:schemeClr w14:val="tx1"/>
            </w14:solidFill>
          </w14:textFill>
        </w:rPr>
        <w:t>否则视为报名未通过。</w:t>
      </w:r>
      <w:r>
        <w:rPr>
          <w:rFonts w:hint="eastAsia" w:ascii="仿宋" w:hAnsi="仿宋" w:eastAsia="仿宋"/>
          <w:color w:val="000000" w:themeColor="text1"/>
          <w:sz w:val="24"/>
          <w:szCs w:val="24"/>
          <w14:textFill>
            <w14:solidFill>
              <w14:schemeClr w14:val="tx1"/>
            </w14:solidFill>
          </w14:textFill>
        </w:rPr>
        <w:t>联</w:t>
      </w:r>
      <w:r>
        <w:rPr>
          <w:rFonts w:hint="eastAsia" w:ascii="仿宋" w:hAnsi="仿宋" w:eastAsia="仿宋"/>
          <w:sz w:val="24"/>
          <w:szCs w:val="24"/>
        </w:rPr>
        <w:t>系人：</w:t>
      </w:r>
      <w:r>
        <w:rPr>
          <w:rFonts w:hint="eastAsia" w:ascii="仿宋" w:hAnsi="仿宋" w:eastAsia="仿宋"/>
          <w:sz w:val="24"/>
          <w:szCs w:val="24"/>
          <w:lang w:val="en-US" w:eastAsia="zh-CN"/>
        </w:rPr>
        <w:t>黄天纬</w:t>
      </w:r>
      <w:r>
        <w:rPr>
          <w:rFonts w:hint="eastAsia" w:ascii="仿宋" w:hAnsi="仿宋" w:eastAsia="仿宋"/>
          <w:sz w:val="24"/>
          <w:szCs w:val="24"/>
        </w:rPr>
        <w:t>，电话</w:t>
      </w:r>
      <w:r>
        <w:rPr>
          <w:rFonts w:hint="eastAsia" w:ascii="仿宋" w:hAnsi="仿宋" w:eastAsia="仿宋"/>
          <w:sz w:val="24"/>
          <w:szCs w:val="24"/>
          <w:lang w:eastAsia="zh-CN"/>
        </w:rPr>
        <w:t>：</w:t>
      </w:r>
      <w:r>
        <w:rPr>
          <w:rFonts w:hint="eastAsia" w:ascii="仿宋" w:hAnsi="仿宋" w:eastAsia="仿宋"/>
          <w:sz w:val="24"/>
          <w:szCs w:val="24"/>
          <w:lang w:val="en-US" w:eastAsia="zh-CN"/>
        </w:rPr>
        <w:t>13610240607</w:t>
      </w:r>
      <w:r>
        <w:rPr>
          <w:rFonts w:hint="eastAsia" w:ascii="仿宋" w:hAnsi="仿宋" w:eastAsia="仿宋"/>
          <w:sz w:val="24"/>
          <w:szCs w:val="24"/>
        </w:rPr>
        <w:t>。</w:t>
      </w:r>
    </w:p>
    <w:p w14:paraId="27DEA927">
      <w:pPr>
        <w:widowControl w:val="0"/>
        <w:numPr>
          <w:ilvl w:val="1"/>
          <w:numId w:val="1"/>
        </w:numPr>
        <w:spacing w:after="0" w:line="500" w:lineRule="exact"/>
        <w:rPr>
          <w:rFonts w:hint="eastAsia" w:ascii="仿宋" w:hAnsi="仿宋" w:eastAsia="仿宋"/>
          <w:sz w:val="24"/>
          <w:szCs w:val="24"/>
        </w:rPr>
      </w:pPr>
      <w:r>
        <w:rPr>
          <w:rFonts w:hint="eastAsia" w:ascii="仿宋" w:hAnsi="仿宋" w:eastAsia="仿宋"/>
          <w:sz w:val="24"/>
          <w:szCs w:val="24"/>
          <w:lang w:val="en-US" w:eastAsia="zh-CN"/>
        </w:rPr>
        <w:t>报名截止时间：2024</w:t>
      </w:r>
      <w:r>
        <w:rPr>
          <w:rFonts w:hint="eastAsia" w:ascii="仿宋" w:hAnsi="仿宋" w:eastAsia="仿宋"/>
          <w:sz w:val="24"/>
          <w:szCs w:val="24"/>
        </w:rPr>
        <w:t>年</w:t>
      </w:r>
      <w:r>
        <w:rPr>
          <w:rFonts w:hint="eastAsia" w:ascii="仿宋" w:hAnsi="仿宋" w:eastAsia="仿宋"/>
          <w:sz w:val="24"/>
          <w:szCs w:val="24"/>
          <w:lang w:val="en-US" w:eastAsia="zh-CN"/>
        </w:rPr>
        <w:t>08</w:t>
      </w:r>
      <w:r>
        <w:rPr>
          <w:rFonts w:hint="eastAsia" w:ascii="仿宋" w:hAnsi="仿宋" w:eastAsia="仿宋"/>
          <w:sz w:val="24"/>
          <w:szCs w:val="24"/>
        </w:rPr>
        <w:t>月</w:t>
      </w:r>
      <w:r>
        <w:rPr>
          <w:rFonts w:hint="eastAsia" w:ascii="仿宋" w:hAnsi="仿宋" w:eastAsia="仿宋"/>
          <w:sz w:val="24"/>
          <w:szCs w:val="24"/>
          <w:lang w:val="en-US" w:eastAsia="zh-CN"/>
        </w:rPr>
        <w:t>09</w:t>
      </w:r>
      <w:r>
        <w:rPr>
          <w:rFonts w:hint="eastAsia" w:ascii="仿宋" w:hAnsi="仿宋" w:eastAsia="仿宋"/>
          <w:sz w:val="24"/>
          <w:szCs w:val="24"/>
        </w:rPr>
        <w:t>日1</w:t>
      </w:r>
      <w:r>
        <w:rPr>
          <w:rFonts w:hint="eastAsia" w:ascii="仿宋" w:hAnsi="仿宋" w:eastAsia="仿宋"/>
          <w:sz w:val="24"/>
          <w:szCs w:val="24"/>
          <w:lang w:val="en-US" w:eastAsia="zh-CN"/>
        </w:rPr>
        <w:t>7</w:t>
      </w:r>
      <w:r>
        <w:rPr>
          <w:rFonts w:hint="eastAsia" w:ascii="仿宋" w:hAnsi="仿宋" w:eastAsia="仿宋"/>
          <w:sz w:val="24"/>
          <w:szCs w:val="24"/>
        </w:rPr>
        <w:t>:00前。</w:t>
      </w:r>
    </w:p>
    <w:p w14:paraId="1A866D5D">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w:t>
      </w:r>
      <w:r>
        <w:rPr>
          <w:rFonts w:hint="eastAsia" w:ascii="仿宋" w:hAnsi="仿宋" w:eastAsia="仿宋"/>
          <w:sz w:val="24"/>
          <w:szCs w:val="24"/>
          <w:lang w:eastAsia="zh-CN"/>
        </w:rPr>
        <w:t>☑</w:t>
      </w:r>
      <w:r>
        <w:rPr>
          <w:rFonts w:hint="eastAsia" w:ascii="仿宋" w:hAnsi="仿宋" w:eastAsia="仿宋"/>
          <w:sz w:val="24"/>
          <w:szCs w:val="24"/>
        </w:rPr>
        <w:t>SRM采购平台/</w:t>
      </w:r>
      <w:r>
        <w:rPr>
          <w:rFonts w:hint="eastAsia" w:ascii="仿宋" w:hAnsi="仿宋" w:eastAsia="仿宋"/>
          <w:sz w:val="24"/>
          <w:szCs w:val="24"/>
          <w:lang w:eastAsia="zh-CN"/>
        </w:rPr>
        <w:t>☑</w:t>
      </w:r>
      <w:r>
        <w:rPr>
          <w:rFonts w:hint="eastAsia" w:ascii="仿宋" w:hAnsi="仿宋" w:eastAsia="仿宋"/>
          <w:sz w:val="24"/>
          <w:szCs w:val="24"/>
        </w:rPr>
        <w:t>按规定时间送达或邮寄</w:t>
      </w:r>
      <w:r>
        <w:rPr>
          <w:rFonts w:hint="eastAsia" w:ascii="仿宋" w:hAnsi="仿宋" w:eastAsia="仿宋"/>
          <w:sz w:val="24"/>
          <w:szCs w:val="24"/>
          <w:shd w:val="clear" w:color="auto" w:fill="FFFFFF"/>
          <w:lang w:eastAsia="zh-CN"/>
        </w:rPr>
        <w:t>。</w:t>
      </w:r>
    </w:p>
    <w:p w14:paraId="4AA723CF">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w:t>
      </w:r>
      <w:r>
        <w:rPr>
          <w:rFonts w:hint="eastAsia" w:ascii="仿宋" w:hAnsi="仿宋" w:eastAsia="仿宋"/>
          <w:sz w:val="24"/>
          <w:szCs w:val="24"/>
          <w:shd w:val="clear" w:color="auto" w:fill="FFFFFF"/>
          <w:lang w:val="en-US" w:eastAsia="zh-CN"/>
        </w:rPr>
        <w:t>递交截止时间：2024年08</w:t>
      </w:r>
      <w:r>
        <w:rPr>
          <w:rFonts w:ascii="仿宋" w:hAnsi="仿宋" w:eastAsia="仿宋"/>
          <w:sz w:val="24"/>
          <w:szCs w:val="24"/>
          <w:shd w:val="clear" w:color="auto" w:fill="FFFFFF"/>
        </w:rPr>
        <w:t>月</w:t>
      </w:r>
      <w:r>
        <w:rPr>
          <w:rFonts w:hint="eastAsia" w:ascii="仿宋" w:hAnsi="仿宋" w:eastAsia="仿宋"/>
          <w:sz w:val="24"/>
          <w:szCs w:val="24"/>
          <w:shd w:val="clear" w:color="auto" w:fill="FFFFFF"/>
          <w:lang w:val="en-US" w:eastAsia="zh-CN"/>
        </w:rPr>
        <w:t>13</w:t>
      </w:r>
      <w:r>
        <w:rPr>
          <w:rFonts w:ascii="仿宋" w:hAnsi="仿宋" w:eastAsia="仿宋"/>
          <w:sz w:val="24"/>
          <w:szCs w:val="24"/>
          <w:shd w:val="clear" w:color="auto" w:fill="FFFFFF"/>
        </w:rPr>
        <w:t>日1</w:t>
      </w:r>
      <w:r>
        <w:rPr>
          <w:rFonts w:hint="eastAsia" w:ascii="仿宋" w:hAnsi="仿宋" w:eastAsia="仿宋"/>
          <w:sz w:val="24"/>
          <w:szCs w:val="24"/>
          <w:shd w:val="clear" w:color="auto" w:fill="FFFFFF"/>
          <w:lang w:val="en-US" w:eastAsia="zh-CN"/>
        </w:rPr>
        <w:t>6</w:t>
      </w:r>
      <w:r>
        <w:rPr>
          <w:rFonts w:hint="eastAsia" w:ascii="仿宋" w:hAnsi="仿宋" w:eastAsia="仿宋"/>
          <w:sz w:val="24"/>
          <w:szCs w:val="24"/>
          <w:shd w:val="clear" w:color="auto" w:fill="FFFFFF"/>
        </w:rPr>
        <w:t>:</w:t>
      </w:r>
      <w:r>
        <w:rPr>
          <w:rFonts w:ascii="仿宋" w:hAnsi="仿宋" w:eastAsia="仿宋"/>
          <w:sz w:val="24"/>
          <w:szCs w:val="24"/>
          <w:shd w:val="clear" w:color="auto" w:fill="FFFFFF"/>
        </w:rPr>
        <w:t>00</w:t>
      </w:r>
      <w:r>
        <w:rPr>
          <w:rFonts w:hint="eastAsia" w:ascii="仿宋" w:hAnsi="仿宋" w:eastAsia="仿宋"/>
          <w:sz w:val="24"/>
          <w:szCs w:val="24"/>
          <w:shd w:val="clear" w:color="auto" w:fill="FFFFFF"/>
        </w:rPr>
        <w:t>前（</w:t>
      </w:r>
      <w:r>
        <w:rPr>
          <w:rFonts w:hint="eastAsia" w:ascii="仿宋" w:hAnsi="仿宋" w:eastAsia="仿宋"/>
          <w:sz w:val="24"/>
          <w:szCs w:val="24"/>
          <w:shd w:val="clear" w:color="auto" w:fill="FFFFFF"/>
          <w:lang w:val="en-US" w:eastAsia="zh-CN"/>
        </w:rPr>
        <w:t>采用</w:t>
      </w:r>
      <w:r>
        <w:rPr>
          <w:rFonts w:hint="eastAsia" w:ascii="仿宋" w:hAnsi="仿宋" w:eastAsia="仿宋"/>
          <w:sz w:val="24"/>
          <w:szCs w:val="24"/>
          <w:shd w:val="clear" w:color="auto" w:fill="FFFFFF"/>
        </w:rPr>
        <w:t>邮寄</w:t>
      </w:r>
      <w:r>
        <w:rPr>
          <w:rFonts w:hint="eastAsia" w:ascii="仿宋" w:hAnsi="仿宋" w:eastAsia="仿宋"/>
          <w:sz w:val="24"/>
          <w:szCs w:val="24"/>
          <w:shd w:val="clear" w:color="auto" w:fill="FFFFFF"/>
          <w:lang w:val="en-US" w:eastAsia="zh-CN"/>
        </w:rPr>
        <w:t>须此时间送达</w:t>
      </w:r>
      <w:r>
        <w:rPr>
          <w:rFonts w:hint="eastAsia" w:ascii="仿宋" w:hAnsi="仿宋" w:eastAsia="仿宋"/>
          <w:sz w:val="24"/>
          <w:szCs w:val="24"/>
          <w:shd w:val="clear" w:color="auto" w:fill="FFFFFF"/>
        </w:rPr>
        <w:t>）。</w:t>
      </w:r>
    </w:p>
    <w:p w14:paraId="61FD5DE1">
      <w:pPr>
        <w:pStyle w:val="55"/>
        <w:numPr>
          <w:ilvl w:val="1"/>
          <w:numId w:val="1"/>
        </w:numPr>
        <w:spacing w:after="0" w:line="500" w:lineRule="exact"/>
        <w:ind w:firstLineChars="0"/>
        <w:rPr>
          <w:rFonts w:ascii="仿宋" w:hAnsi="仿宋" w:eastAsia="仿宋"/>
          <w:sz w:val="24"/>
          <w:szCs w:val="24"/>
        </w:rPr>
      </w:pPr>
      <w:r>
        <w:rPr>
          <w:rFonts w:hint="eastAsia" w:ascii="仿宋" w:hAnsi="仿宋" w:eastAsia="仿宋"/>
          <w:sz w:val="24"/>
          <w:szCs w:val="24"/>
        </w:rPr>
        <w:t>报价响应文件递交地点：</w:t>
      </w:r>
      <w:r>
        <w:rPr>
          <w:rFonts w:hint="eastAsia" w:ascii="仿宋" w:hAnsi="仿宋" w:eastAsia="仿宋"/>
          <w:sz w:val="24"/>
          <w:szCs w:val="24"/>
          <w:lang w:eastAsia="zh-CN"/>
        </w:rPr>
        <w:t>肇庆市鼎湖区莲花镇丰乐路20号广州应用科技学院肇庆校区</w:t>
      </w:r>
      <w:r>
        <w:rPr>
          <w:rFonts w:hint="eastAsia" w:ascii="仿宋" w:hAnsi="仿宋" w:eastAsia="仿宋"/>
          <w:sz w:val="24"/>
          <w:szCs w:val="24"/>
          <w:lang w:val="en-US" w:eastAsia="zh-CN"/>
        </w:rPr>
        <w:t>。</w:t>
      </w:r>
    </w:p>
    <w:p w14:paraId="7970CAC3">
      <w:pPr>
        <w:pStyle w:val="55"/>
        <w:spacing w:after="0" w:line="500" w:lineRule="exact"/>
        <w:ind w:left="839" w:firstLine="0" w:firstLineChars="0"/>
        <w:rPr>
          <w:rFonts w:ascii="仿宋" w:hAnsi="仿宋" w:eastAsia="仿宋"/>
          <w:color w:val="FF0000"/>
          <w:sz w:val="24"/>
          <w:szCs w:val="24"/>
        </w:rPr>
      </w:pPr>
      <w:r>
        <w:rPr>
          <w:rFonts w:hint="eastAsia" w:ascii="仿宋" w:hAnsi="仿宋" w:eastAsia="仿宋"/>
          <w:sz w:val="24"/>
          <w:szCs w:val="24"/>
        </w:rPr>
        <w:t>联系人</w:t>
      </w:r>
      <w:r>
        <w:rPr>
          <w:rFonts w:hint="eastAsia" w:ascii="仿宋" w:hAnsi="仿宋" w:eastAsia="仿宋"/>
          <w:sz w:val="24"/>
          <w:szCs w:val="24"/>
          <w:lang w:eastAsia="zh-CN"/>
        </w:rPr>
        <w:t>：</w:t>
      </w:r>
      <w:r>
        <w:rPr>
          <w:rFonts w:hint="eastAsia" w:ascii="仿宋" w:hAnsi="仿宋" w:eastAsia="仿宋"/>
          <w:color w:val="000000" w:themeColor="text1"/>
          <w:sz w:val="24"/>
          <w:szCs w:val="24"/>
          <w:lang w:val="en-US" w:eastAsia="zh-CN"/>
          <w14:textFill>
            <w14:solidFill>
              <w14:schemeClr w14:val="tx1"/>
            </w14:solidFill>
          </w14:textFill>
        </w:rPr>
        <w:t>陈伟煌</w:t>
      </w:r>
      <w:r>
        <w:rPr>
          <w:rFonts w:hint="eastAsia" w:ascii="仿宋" w:hAnsi="仿宋" w:eastAsia="仿宋"/>
          <w:sz w:val="24"/>
          <w:szCs w:val="24"/>
        </w:rPr>
        <w:t>；联系电话：</w:t>
      </w:r>
      <w:r>
        <w:rPr>
          <w:rFonts w:hint="eastAsia" w:ascii="仿宋" w:hAnsi="仿宋" w:eastAsia="仿宋"/>
          <w:color w:val="000000" w:themeColor="text1"/>
          <w:sz w:val="24"/>
          <w:szCs w:val="24"/>
          <w:lang w:val="en-US" w:eastAsia="zh-CN"/>
          <w14:textFill>
            <w14:solidFill>
              <w14:schemeClr w14:val="tx1"/>
            </w14:solidFill>
          </w14:textFill>
        </w:rPr>
        <w:t>18680111781；</w:t>
      </w:r>
    </w:p>
    <w:p w14:paraId="51CAFEDF">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本项目需参与人在</w:t>
      </w:r>
      <w:r>
        <w:rPr>
          <w:rFonts w:hint="eastAsia" w:ascii="仿宋" w:hAnsi="仿宋" w:eastAsia="仿宋"/>
          <w:sz w:val="24"/>
          <w:szCs w:val="24"/>
          <w:lang w:val="en-US" w:eastAsia="zh-CN"/>
        </w:rPr>
        <w:t>磋商</w:t>
      </w:r>
      <w:r>
        <w:rPr>
          <w:rFonts w:hint="eastAsia" w:ascii="仿宋" w:hAnsi="仿宋" w:eastAsia="仿宋"/>
          <w:sz w:val="24"/>
          <w:szCs w:val="24"/>
        </w:rPr>
        <w:t>同时</w:t>
      </w:r>
      <w:r>
        <w:rPr>
          <w:rFonts w:hint="eastAsia" w:ascii="仿宋" w:hAnsi="仿宋" w:eastAsia="仿宋"/>
          <w:sz w:val="24"/>
          <w:szCs w:val="24"/>
          <w:lang w:val="en-US" w:eastAsia="zh-CN"/>
        </w:rPr>
        <w:t>进行演示</w:t>
      </w:r>
      <w:r>
        <w:rPr>
          <w:rFonts w:hint="eastAsia" w:ascii="仿宋" w:hAnsi="仿宋" w:eastAsia="仿宋"/>
          <w:sz w:val="24"/>
          <w:szCs w:val="24"/>
        </w:rPr>
        <w:t>，</w:t>
      </w:r>
      <w:r>
        <w:rPr>
          <w:rFonts w:hint="eastAsia" w:ascii="仿宋" w:hAnsi="仿宋" w:eastAsia="仿宋"/>
          <w:sz w:val="24"/>
          <w:szCs w:val="24"/>
          <w:lang w:val="en-US" w:eastAsia="zh-CN"/>
        </w:rPr>
        <w:t>演示环境自行搭建</w:t>
      </w:r>
      <w:r>
        <w:rPr>
          <w:rFonts w:hint="eastAsia" w:ascii="仿宋" w:hAnsi="仿宋" w:eastAsia="仿宋"/>
          <w:sz w:val="24"/>
          <w:szCs w:val="24"/>
        </w:rPr>
        <w:t>。</w:t>
      </w:r>
    </w:p>
    <w:p w14:paraId="1AB600A0">
      <w:pPr>
        <w:widowControl w:val="0"/>
        <w:numPr>
          <w:ilvl w:val="1"/>
          <w:numId w:val="1"/>
        </w:numPr>
        <w:spacing w:after="0" w:line="460" w:lineRule="exact"/>
        <w:rPr>
          <w:rFonts w:ascii="仿宋" w:hAnsi="仿宋" w:eastAsia="仿宋"/>
          <w:sz w:val="24"/>
          <w:szCs w:val="24"/>
        </w:rPr>
      </w:pPr>
      <w:r>
        <w:rPr>
          <w:rFonts w:hint="eastAsia" w:ascii="仿宋" w:hAnsi="仿宋" w:eastAsia="仿宋"/>
          <w:sz w:val="24"/>
          <w:szCs w:val="24"/>
        </w:rPr>
        <w:t>参加本项目的参与人如对公开询价邀请函列示内容存有疑问的，</w:t>
      </w:r>
      <w:bookmarkStart w:id="46" w:name="_Hlk97917519"/>
      <w:r>
        <w:rPr>
          <w:rFonts w:hint="eastAsia" w:ascii="仿宋" w:hAnsi="仿宋" w:eastAsia="仿宋"/>
          <w:sz w:val="24"/>
          <w:szCs w:val="24"/>
        </w:rPr>
        <w:t>请在</w:t>
      </w:r>
      <w:r>
        <w:rPr>
          <w:rFonts w:hint="eastAsia" w:ascii="仿宋" w:hAnsi="仿宋" w:eastAsia="仿宋"/>
          <w:sz w:val="24"/>
          <w:szCs w:val="24"/>
          <w:lang w:val="en-US" w:eastAsia="zh-CN"/>
        </w:rPr>
        <w:t>递交报价响应</w:t>
      </w:r>
      <w:r>
        <w:rPr>
          <w:rFonts w:hint="eastAsia" w:ascii="仿宋" w:hAnsi="仿宋" w:eastAsia="仿宋"/>
          <w:sz w:val="24"/>
          <w:szCs w:val="24"/>
        </w:rPr>
        <w:t>文件截止之日前将问题以书面形式（有效签署的原件并加盖公章）提交，采购人不对超时提交及未加盖公章的质疑文件进行回复。</w:t>
      </w:r>
    </w:p>
    <w:p w14:paraId="0CE1C531">
      <w:pPr>
        <w:widowControl w:val="0"/>
        <w:numPr>
          <w:ilvl w:val="0"/>
          <w:numId w:val="0"/>
        </w:numPr>
        <w:spacing w:after="0" w:line="460" w:lineRule="exact"/>
        <w:ind w:left="420" w:leftChars="0" w:firstLine="480" w:firstLineChars="200"/>
        <w:rPr>
          <w:rFonts w:hint="default" w:ascii="仿宋" w:hAnsi="仿宋" w:eastAsia="仿宋"/>
          <w:sz w:val="24"/>
          <w:szCs w:val="24"/>
          <w:lang w:val="en-US" w:eastAsia="zh-CN"/>
        </w:rPr>
      </w:pPr>
      <w:r>
        <w:rPr>
          <w:rFonts w:hint="eastAsia" w:ascii="仿宋" w:hAnsi="仿宋" w:eastAsia="仿宋"/>
          <w:sz w:val="24"/>
          <w:szCs w:val="24"/>
        </w:rPr>
        <w:t>项目联系人</w:t>
      </w:r>
      <w:r>
        <w:rPr>
          <w:rFonts w:hint="eastAsia" w:ascii="仿宋" w:hAnsi="仿宋" w:eastAsia="仿宋"/>
          <w:sz w:val="24"/>
          <w:szCs w:val="24"/>
          <w:lang w:eastAsia="zh-CN"/>
        </w:rPr>
        <w:t>：</w:t>
      </w:r>
      <w:r>
        <w:rPr>
          <w:rFonts w:hint="eastAsia" w:ascii="仿宋" w:hAnsi="仿宋" w:eastAsia="仿宋"/>
          <w:sz w:val="24"/>
          <w:szCs w:val="24"/>
          <w:lang w:val="en-US" w:eastAsia="zh-CN"/>
        </w:rPr>
        <w:t>黄天纬</w:t>
      </w:r>
      <w:r>
        <w:rPr>
          <w:rFonts w:hint="eastAsia" w:ascii="仿宋" w:hAnsi="仿宋" w:eastAsia="仿宋"/>
          <w:sz w:val="24"/>
          <w:szCs w:val="24"/>
        </w:rPr>
        <w:t>，电话：</w:t>
      </w:r>
      <w:r>
        <w:rPr>
          <w:rFonts w:hint="eastAsia" w:ascii="仿宋" w:hAnsi="仿宋" w:eastAsia="仿宋"/>
          <w:sz w:val="24"/>
          <w:szCs w:val="24"/>
          <w:lang w:val="en-US" w:eastAsia="zh-CN"/>
        </w:rPr>
        <w:t>13610240607</w:t>
      </w:r>
    </w:p>
    <w:p w14:paraId="2AAB17FD">
      <w:pPr>
        <w:widowControl w:val="0"/>
        <w:numPr>
          <w:ilvl w:val="0"/>
          <w:numId w:val="0"/>
        </w:numPr>
        <w:spacing w:after="0" w:line="460" w:lineRule="exact"/>
        <w:ind w:left="420" w:leftChars="0" w:firstLine="480" w:firstLineChars="200"/>
        <w:rPr>
          <w:rFonts w:hint="eastAsia" w:ascii="仿宋" w:hAnsi="仿宋" w:eastAsia="仿宋"/>
          <w:sz w:val="24"/>
          <w:szCs w:val="24"/>
        </w:rPr>
      </w:pPr>
      <w:r>
        <w:rPr>
          <w:rFonts w:hint="eastAsia" w:ascii="仿宋" w:hAnsi="仿宋" w:eastAsia="仿宋"/>
          <w:sz w:val="24"/>
          <w:szCs w:val="24"/>
        </w:rPr>
        <w:t>采购单位联系人：</w:t>
      </w:r>
      <w:r>
        <w:rPr>
          <w:rFonts w:hint="eastAsia" w:ascii="仿宋" w:hAnsi="仿宋" w:eastAsia="仿宋"/>
          <w:sz w:val="24"/>
          <w:szCs w:val="24"/>
          <w:lang w:val="en-US" w:eastAsia="zh-CN"/>
        </w:rPr>
        <w:t>黄亮</w:t>
      </w:r>
      <w:r>
        <w:rPr>
          <w:rFonts w:hint="eastAsia" w:ascii="仿宋" w:hAnsi="仿宋" w:eastAsia="仿宋"/>
          <w:sz w:val="24"/>
          <w:szCs w:val="24"/>
        </w:rPr>
        <w:t>，电话：</w:t>
      </w:r>
      <w:r>
        <w:rPr>
          <w:rFonts w:hint="eastAsia" w:ascii="仿宋" w:hAnsi="仿宋" w:eastAsia="仿宋"/>
          <w:sz w:val="24"/>
          <w:szCs w:val="24"/>
          <w:lang w:val="en-US" w:eastAsia="zh-CN"/>
        </w:rPr>
        <w:t>020-89913839</w:t>
      </w:r>
    </w:p>
    <w:p w14:paraId="592F123D">
      <w:pPr>
        <w:widowControl w:val="0"/>
        <w:numPr>
          <w:ilvl w:val="1"/>
          <w:numId w:val="1"/>
        </w:numPr>
        <w:spacing w:after="0" w:line="460" w:lineRule="exact"/>
        <w:rPr>
          <w:rFonts w:ascii="仿宋" w:hAnsi="仿宋" w:eastAsia="仿宋"/>
          <w:sz w:val="24"/>
          <w:szCs w:val="24"/>
        </w:rPr>
      </w:pPr>
      <w:r>
        <w:rPr>
          <w:rFonts w:hint="eastAsia" w:ascii="仿宋" w:hAnsi="仿宋" w:eastAsia="仿宋"/>
          <w:sz w:val="24"/>
          <w:szCs w:val="24"/>
        </w:rPr>
        <w:t>本项目最终成交结果会在中教集团旗下各平台公示，网址1：www.ceghqxz.com；网址2：https://srm.educationgroup.cn。参加本项目的参与人如对</w:t>
      </w:r>
      <w:r>
        <w:rPr>
          <w:rFonts w:hint="eastAsia" w:ascii="仿宋" w:hAnsi="仿宋" w:eastAsia="仿宋"/>
          <w:b/>
          <w:bCs/>
          <w:sz w:val="24"/>
          <w:szCs w:val="24"/>
        </w:rPr>
        <w:t>采购过程和成交结果有异议的，</w:t>
      </w:r>
      <w:bookmarkEnd w:id="46"/>
      <w:r>
        <w:rPr>
          <w:rFonts w:hint="eastAsia" w:ascii="仿宋" w:hAnsi="仿宋" w:eastAsia="仿宋"/>
          <w:sz w:val="24"/>
          <w:szCs w:val="24"/>
        </w:rPr>
        <w:t>请以书面形式（有效签署的原件并加盖公章），并附有相关的证据材料，提交至集团监察审计部。</w:t>
      </w:r>
    </w:p>
    <w:p w14:paraId="4B06C534">
      <w:pPr>
        <w:widowControl w:val="0"/>
        <w:tabs>
          <w:tab w:val="left" w:pos="839"/>
        </w:tabs>
        <w:spacing w:after="0" w:line="460" w:lineRule="exact"/>
        <w:ind w:left="839"/>
        <w:rPr>
          <w:rFonts w:ascii="仿宋" w:hAnsi="仿宋" w:eastAsia="仿宋"/>
          <w:sz w:val="24"/>
          <w:szCs w:val="24"/>
        </w:rPr>
      </w:pPr>
      <w:r>
        <w:rPr>
          <w:rFonts w:hint="eastAsia" w:ascii="仿宋" w:hAnsi="仿宋" w:eastAsia="仿宋"/>
          <w:sz w:val="24"/>
          <w:szCs w:val="24"/>
        </w:rPr>
        <w:t>投诉受理部门：中教集团监察审计部，投诉电话： 0791-88106510 /0791-88102608</w:t>
      </w:r>
    </w:p>
    <w:p w14:paraId="21B71BB5">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14:paraId="6C80A277">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14:paraId="3514CA47">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14:paraId="53637733">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w:t>
      </w:r>
      <w:r>
        <w:rPr>
          <w:rFonts w:hint="eastAsia" w:ascii="仿宋" w:hAnsi="仿宋" w:eastAsia="仿宋"/>
          <w:sz w:val="24"/>
          <w:szCs w:val="24"/>
          <w:lang w:val="en-US" w:eastAsia="zh-CN"/>
        </w:rPr>
        <w:t>褪色</w:t>
      </w:r>
      <w:r>
        <w:rPr>
          <w:rFonts w:hint="eastAsia" w:ascii="仿宋" w:hAnsi="仿宋" w:eastAsia="仿宋"/>
          <w:sz w:val="24"/>
          <w:szCs w:val="24"/>
        </w:rPr>
        <w:t>墨水书写或打印，因字迹潦草或表达不清所引起的后果由参与人自负。</w:t>
      </w:r>
    </w:p>
    <w:p w14:paraId="56C31B69">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14:paraId="527F7EED">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一个参与人只能提交一个报价响应文件，本项目不接受联合体报价。</w:t>
      </w:r>
    </w:p>
    <w:p w14:paraId="5281B0FF">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14:paraId="68C192F4">
      <w:pPr>
        <w:pStyle w:val="55"/>
        <w:widowControl w:val="0"/>
        <w:numPr>
          <w:ilvl w:val="3"/>
          <w:numId w:val="4"/>
        </w:numPr>
        <w:spacing w:after="0" w:line="500" w:lineRule="exact"/>
        <w:ind w:left="851" w:hanging="425" w:firstLineChars="0"/>
        <w:jc w:val="left"/>
        <w:rPr>
          <w:rFonts w:hint="eastAsia" w:ascii="仿宋" w:hAnsi="仿宋" w:eastAsia="仿宋"/>
          <w:sz w:val="24"/>
          <w:szCs w:val="24"/>
        </w:rPr>
      </w:pPr>
      <w:r>
        <w:rPr>
          <w:rFonts w:hint="eastAsia" w:ascii="仿宋" w:hAnsi="仿宋" w:eastAsia="仿宋"/>
          <w:sz w:val="24"/>
          <w:szCs w:val="24"/>
          <w:lang w:val="en-US" w:eastAsia="zh-CN"/>
        </w:rPr>
        <w:t>维</w:t>
      </w:r>
      <w:r>
        <w:rPr>
          <w:rFonts w:hint="eastAsia" w:ascii="仿宋" w:hAnsi="仿宋" w:eastAsia="仿宋"/>
          <w:sz w:val="24"/>
          <w:szCs w:val="24"/>
        </w:rPr>
        <w:t>保期</w:t>
      </w:r>
      <w:r>
        <w:rPr>
          <w:rFonts w:hint="eastAsia" w:ascii="仿宋" w:hAnsi="仿宋" w:eastAsia="仿宋"/>
          <w:sz w:val="24"/>
          <w:szCs w:val="24"/>
          <w:lang w:eastAsia="zh-CN"/>
        </w:rPr>
        <w:t>：</w:t>
      </w:r>
      <w:r>
        <w:rPr>
          <w:rFonts w:hint="default" w:ascii="仿宋" w:hAnsi="仿宋" w:eastAsia="仿宋"/>
          <w:sz w:val="24"/>
          <w:szCs w:val="24"/>
        </w:rPr>
        <w:t>≥</w:t>
      </w:r>
      <w:r>
        <w:rPr>
          <w:rFonts w:hint="eastAsia" w:ascii="仿宋" w:hAnsi="仿宋" w:eastAsia="仿宋"/>
          <w:sz w:val="24"/>
          <w:szCs w:val="24"/>
          <w:lang w:val="en-US" w:eastAsia="zh-CN"/>
        </w:rPr>
        <w:t>36</w:t>
      </w:r>
      <w:r>
        <w:rPr>
          <w:rFonts w:hint="eastAsia" w:ascii="仿宋" w:hAnsi="仿宋" w:eastAsia="仿宋"/>
          <w:sz w:val="24"/>
          <w:szCs w:val="24"/>
        </w:rPr>
        <w:t>个月</w:t>
      </w:r>
      <w:r>
        <w:rPr>
          <w:rFonts w:hint="eastAsia" w:ascii="仿宋" w:hAnsi="仿宋" w:eastAsia="仿宋"/>
          <w:sz w:val="24"/>
          <w:szCs w:val="24"/>
          <w:lang w:eastAsia="zh-CN"/>
        </w:rPr>
        <w:t>；</w:t>
      </w:r>
    </w:p>
    <w:p w14:paraId="2BA82FC9">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w:t>
      </w:r>
      <w:r>
        <w:rPr>
          <w:rFonts w:hint="eastAsia" w:ascii="仿宋" w:hAnsi="仿宋" w:eastAsia="仿宋"/>
          <w:sz w:val="24"/>
          <w:szCs w:val="24"/>
          <w:lang w:val="en-US" w:eastAsia="zh-CN"/>
        </w:rPr>
        <w:t>保</w:t>
      </w:r>
      <w:r>
        <w:rPr>
          <w:rFonts w:hint="eastAsia" w:ascii="仿宋" w:hAnsi="仿宋" w:eastAsia="仿宋"/>
          <w:sz w:val="24"/>
          <w:szCs w:val="24"/>
        </w:rPr>
        <w:t>时间安排</w:t>
      </w:r>
      <w:r>
        <w:rPr>
          <w:rFonts w:hint="eastAsia" w:ascii="仿宋" w:hAnsi="仿宋" w:eastAsia="仿宋"/>
          <w:sz w:val="24"/>
          <w:szCs w:val="24"/>
          <w:lang w:eastAsia="zh-CN"/>
        </w:rPr>
        <w:t>；</w:t>
      </w:r>
    </w:p>
    <w:p w14:paraId="4E39E590">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lang w:val="en-US" w:eastAsia="zh-CN"/>
        </w:rPr>
        <w:t>维保</w:t>
      </w:r>
      <w:r>
        <w:rPr>
          <w:rFonts w:hint="eastAsia" w:ascii="仿宋" w:hAnsi="仿宋" w:eastAsia="仿宋"/>
          <w:sz w:val="24"/>
          <w:szCs w:val="24"/>
        </w:rPr>
        <w:t>联系电话及联系人员</w:t>
      </w:r>
      <w:r>
        <w:rPr>
          <w:rFonts w:hint="eastAsia" w:ascii="仿宋" w:hAnsi="仿宋" w:eastAsia="仿宋"/>
          <w:sz w:val="24"/>
          <w:szCs w:val="24"/>
          <w:lang w:eastAsia="zh-CN"/>
        </w:rPr>
        <w:t>；</w:t>
      </w:r>
    </w:p>
    <w:p w14:paraId="6D57062C">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w:t>
      </w:r>
      <w:r>
        <w:rPr>
          <w:rFonts w:hint="eastAsia" w:ascii="仿宋" w:hAnsi="仿宋" w:eastAsia="仿宋"/>
          <w:sz w:val="24"/>
          <w:szCs w:val="24"/>
          <w:lang w:val="en-US" w:eastAsia="zh-CN"/>
        </w:rPr>
        <w:t>保、升级</w:t>
      </w:r>
      <w:r>
        <w:rPr>
          <w:rFonts w:hint="eastAsia" w:ascii="仿宋" w:hAnsi="仿宋" w:eastAsia="仿宋"/>
          <w:sz w:val="24"/>
          <w:szCs w:val="24"/>
        </w:rPr>
        <w:t>服务收费标准</w:t>
      </w:r>
      <w:r>
        <w:rPr>
          <w:rFonts w:hint="eastAsia" w:ascii="仿宋" w:hAnsi="仿宋" w:eastAsia="仿宋"/>
          <w:sz w:val="24"/>
          <w:szCs w:val="24"/>
          <w:lang w:eastAsia="zh-CN"/>
        </w:rPr>
        <w:t>；</w:t>
      </w:r>
    </w:p>
    <w:p w14:paraId="6D5ABFDB">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14:paraId="73F79843">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本项目为自有资金而非财政性资金采购，采购人按企业内部规定的标准进行评定</w:t>
      </w:r>
      <w:r>
        <w:rPr>
          <w:rFonts w:ascii="仿宋" w:hAnsi="仿宋" w:eastAsia="仿宋"/>
          <w:sz w:val="24"/>
          <w:szCs w:val="24"/>
        </w:rPr>
        <w:t xml:space="preserve"> </w:t>
      </w:r>
      <w:r>
        <w:rPr>
          <w:rFonts w:hint="eastAsia" w:ascii="仿宋" w:hAnsi="仿宋" w:eastAsia="仿宋"/>
          <w:sz w:val="24"/>
          <w:szCs w:val="24"/>
        </w:rPr>
        <w:t>。</w:t>
      </w:r>
    </w:p>
    <w:p w14:paraId="44994029">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w:t>
      </w:r>
      <w:r>
        <w:rPr>
          <w:rFonts w:hint="eastAsia" w:ascii="仿宋" w:hAnsi="仿宋" w:eastAsia="仿宋"/>
          <w:sz w:val="24"/>
          <w:szCs w:val="24"/>
          <w:lang w:eastAsia="zh-CN"/>
        </w:rPr>
        <w:t>，</w:t>
      </w:r>
      <w:r>
        <w:rPr>
          <w:rFonts w:hint="eastAsia" w:ascii="仿宋" w:hAnsi="仿宋" w:eastAsia="仿宋"/>
          <w:sz w:val="24"/>
          <w:szCs w:val="24"/>
        </w:rPr>
        <w:t>经过磋商所报价格为合理价格的参与人为成交参与人。</w:t>
      </w:r>
    </w:p>
    <w:p w14:paraId="7DE61B44">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14:paraId="15A66520">
      <w:pPr>
        <w:pStyle w:val="55"/>
        <w:spacing w:after="0" w:line="500" w:lineRule="exact"/>
        <w:ind w:left="851" w:firstLine="0" w:firstLineChars="0"/>
        <w:jc w:val="left"/>
        <w:rPr>
          <w:rFonts w:ascii="仿宋" w:hAnsi="仿宋" w:eastAsia="仿宋"/>
          <w:sz w:val="24"/>
          <w:szCs w:val="24"/>
        </w:rPr>
      </w:pPr>
    </w:p>
    <w:p w14:paraId="41D5289C">
      <w:pPr>
        <w:pStyle w:val="55"/>
        <w:spacing w:after="0" w:line="500" w:lineRule="exact"/>
        <w:ind w:left="0" w:leftChars="0" w:firstLine="0" w:firstLineChars="0"/>
        <w:jc w:val="left"/>
        <w:rPr>
          <w:rFonts w:ascii="仿宋" w:hAnsi="仿宋" w:eastAsia="仿宋"/>
          <w:sz w:val="24"/>
          <w:szCs w:val="24"/>
        </w:rPr>
      </w:pPr>
    </w:p>
    <w:p w14:paraId="42547ACE">
      <w:pPr>
        <w:pStyle w:val="55"/>
        <w:numPr>
          <w:ilvl w:val="0"/>
          <w:numId w:val="0"/>
        </w:numPr>
        <w:spacing w:after="0" w:line="500" w:lineRule="exact"/>
        <w:ind w:firstLine="7680" w:firstLineChars="3200"/>
        <w:jc w:val="left"/>
        <w:rPr>
          <w:rFonts w:hint="default" w:ascii="仿宋" w:hAnsi="仿宋" w:eastAsia="仿宋"/>
          <w:sz w:val="24"/>
          <w:szCs w:val="24"/>
          <w:lang w:val="en-US" w:eastAsia="zh-CN"/>
        </w:rPr>
      </w:pPr>
      <w:r>
        <w:rPr>
          <w:rFonts w:hint="eastAsia" w:ascii="仿宋" w:hAnsi="仿宋" w:eastAsia="仿宋"/>
          <w:sz w:val="24"/>
          <w:szCs w:val="24"/>
          <w:lang w:val="en-US" w:eastAsia="zh-CN"/>
        </w:rPr>
        <w:t>广州应用科技学院</w:t>
      </w:r>
    </w:p>
    <w:p w14:paraId="686948AC">
      <w:pPr>
        <w:pStyle w:val="55"/>
        <w:numPr>
          <w:ilvl w:val="0"/>
          <w:numId w:val="0"/>
        </w:numPr>
        <w:spacing w:after="0" w:line="500" w:lineRule="exact"/>
        <w:ind w:left="426" w:leftChars="0" w:firstLine="7200" w:firstLineChars="3000"/>
        <w:jc w:val="left"/>
        <w:rPr>
          <w:rFonts w:hint="eastAsia" w:ascii="仿宋" w:hAnsi="仿宋" w:eastAsia="仿宋"/>
          <w:sz w:val="24"/>
          <w:szCs w:val="24"/>
        </w:rPr>
      </w:pPr>
      <w:r>
        <w:rPr>
          <w:rFonts w:hint="eastAsia" w:ascii="仿宋" w:hAnsi="仿宋" w:eastAsia="仿宋"/>
          <w:sz w:val="24"/>
          <w:szCs w:val="24"/>
          <w:lang w:val="en-US" w:eastAsia="zh-CN"/>
        </w:rPr>
        <w:t>2024</w:t>
      </w:r>
      <w:r>
        <w:rPr>
          <w:rFonts w:hint="eastAsia" w:ascii="仿宋" w:hAnsi="仿宋" w:eastAsia="仿宋"/>
          <w:sz w:val="24"/>
          <w:szCs w:val="24"/>
        </w:rPr>
        <w:t>年</w:t>
      </w:r>
      <w:r>
        <w:rPr>
          <w:rFonts w:hint="eastAsia" w:ascii="仿宋" w:hAnsi="仿宋" w:eastAsia="仿宋"/>
          <w:sz w:val="24"/>
          <w:szCs w:val="24"/>
          <w:lang w:val="en-US" w:eastAsia="zh-CN"/>
        </w:rPr>
        <w:t>08</w:t>
      </w:r>
      <w:r>
        <w:rPr>
          <w:rFonts w:hint="eastAsia" w:ascii="仿宋" w:hAnsi="仿宋" w:eastAsia="仿宋"/>
          <w:sz w:val="24"/>
          <w:szCs w:val="24"/>
        </w:rPr>
        <w:t>月</w:t>
      </w:r>
      <w:r>
        <w:rPr>
          <w:rFonts w:hint="eastAsia" w:ascii="仿宋" w:hAnsi="仿宋" w:eastAsia="仿宋"/>
          <w:sz w:val="24"/>
          <w:szCs w:val="24"/>
          <w:lang w:val="en-US" w:eastAsia="zh-CN"/>
        </w:rPr>
        <w:t>05</w:t>
      </w:r>
      <w:r>
        <w:rPr>
          <w:rFonts w:hint="eastAsia" w:ascii="仿宋" w:hAnsi="仿宋" w:eastAsia="仿宋"/>
          <w:sz w:val="24"/>
          <w:szCs w:val="24"/>
        </w:rPr>
        <w:t>日</w:t>
      </w:r>
    </w:p>
    <w:p w14:paraId="1827112D">
      <w:pPr>
        <w:pStyle w:val="55"/>
        <w:spacing w:after="0" w:line="500" w:lineRule="exact"/>
        <w:ind w:left="851" w:firstLine="0" w:firstLineChars="0"/>
        <w:jc w:val="center"/>
        <w:rPr>
          <w:rFonts w:ascii="仿宋" w:hAnsi="仿宋" w:eastAsia="仿宋"/>
          <w:b/>
          <w:color w:val="FF0000"/>
          <w:sz w:val="32"/>
          <w:szCs w:val="32"/>
        </w:rPr>
      </w:pPr>
      <w:r>
        <w:rPr>
          <w:rFonts w:ascii="仿宋" w:hAnsi="仿宋" w:eastAsia="仿宋"/>
          <w:color w:val="FF0000"/>
          <w:sz w:val="28"/>
          <w:szCs w:val="28"/>
        </w:rPr>
        <w:br w:type="page"/>
      </w:r>
      <w:r>
        <w:rPr>
          <w:rFonts w:hint="eastAsia" w:ascii="仿宋" w:hAnsi="仿宋" w:eastAsia="仿宋"/>
          <w:b/>
          <w:color w:val="000000" w:themeColor="text1"/>
          <w:sz w:val="44"/>
          <w:szCs w:val="44"/>
          <w14:textFill>
            <w14:solidFill>
              <w14:schemeClr w14:val="tx1"/>
            </w14:solidFill>
          </w14:textFill>
        </w:rPr>
        <w:t>公开询价货物一览表</w:t>
      </w:r>
      <w:bookmarkEnd w:id="45"/>
    </w:p>
    <w:tbl>
      <w:tblPr>
        <w:tblStyle w:val="23"/>
        <w:tblW w:w="5000" w:type="pct"/>
        <w:tblInd w:w="0" w:type="dxa"/>
        <w:tblLayout w:type="autofit"/>
        <w:tblCellMar>
          <w:top w:w="0" w:type="dxa"/>
          <w:left w:w="108" w:type="dxa"/>
          <w:bottom w:w="0" w:type="dxa"/>
          <w:right w:w="108" w:type="dxa"/>
        </w:tblCellMar>
      </w:tblPr>
      <w:tblGrid>
        <w:gridCol w:w="572"/>
        <w:gridCol w:w="862"/>
        <w:gridCol w:w="1370"/>
        <w:gridCol w:w="2190"/>
        <w:gridCol w:w="542"/>
        <w:gridCol w:w="594"/>
        <w:gridCol w:w="850"/>
        <w:gridCol w:w="1070"/>
        <w:gridCol w:w="1063"/>
        <w:gridCol w:w="883"/>
      </w:tblGrid>
      <w:tr w14:paraId="67750A66">
        <w:trPr>
          <w:trHeight w:val="492" w:hRule="atLeast"/>
        </w:trPr>
        <w:tc>
          <w:tcPr>
            <w:tcW w:w="286" w:type="pct"/>
            <w:tcBorders>
              <w:top w:val="single" w:color="auto" w:sz="4" w:space="0"/>
              <w:left w:val="single" w:color="auto" w:sz="4" w:space="0"/>
              <w:bottom w:val="single" w:color="auto" w:sz="4" w:space="0"/>
              <w:right w:val="single" w:color="auto" w:sz="4" w:space="0"/>
            </w:tcBorders>
            <w:vAlign w:val="center"/>
          </w:tcPr>
          <w:p w14:paraId="69126259">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431" w:type="pct"/>
            <w:tcBorders>
              <w:top w:val="single" w:color="auto" w:sz="4" w:space="0"/>
              <w:left w:val="nil"/>
              <w:bottom w:val="single" w:color="auto" w:sz="4" w:space="0"/>
              <w:right w:val="single" w:color="auto" w:sz="4" w:space="0"/>
            </w:tcBorders>
            <w:vAlign w:val="center"/>
          </w:tcPr>
          <w:p w14:paraId="7BA3DDAE">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名称</w:t>
            </w:r>
          </w:p>
        </w:tc>
        <w:tc>
          <w:tcPr>
            <w:tcW w:w="685" w:type="pct"/>
            <w:tcBorders>
              <w:top w:val="single" w:color="auto" w:sz="4" w:space="0"/>
              <w:left w:val="nil"/>
              <w:bottom w:val="single" w:color="auto" w:sz="4" w:space="0"/>
              <w:right w:val="single" w:color="auto" w:sz="4" w:space="0"/>
            </w:tcBorders>
            <w:vAlign w:val="center"/>
          </w:tcPr>
          <w:p w14:paraId="4992A6E6">
            <w:pPr>
              <w:jc w:val="center"/>
              <w:rPr>
                <w:rFonts w:ascii="仿宋" w:hAnsi="仿宋" w:eastAsia="仿宋" w:cs="Tahoma"/>
                <w:b/>
                <w:bCs/>
                <w:color w:val="000000"/>
                <w:sz w:val="20"/>
                <w:szCs w:val="20"/>
              </w:rPr>
            </w:pPr>
            <w:bookmarkStart w:id="47" w:name="_Hlk78721021"/>
            <w:r>
              <w:rPr>
                <w:rFonts w:hint="eastAsia" w:ascii="仿宋" w:hAnsi="仿宋" w:eastAsia="仿宋" w:cs="Tahoma"/>
                <w:b/>
                <w:bCs/>
                <w:color w:val="000000"/>
                <w:sz w:val="20"/>
                <w:szCs w:val="20"/>
                <w:lang w:val="en-US" w:eastAsia="zh-CN"/>
              </w:rPr>
              <w:t>品牌</w:t>
            </w:r>
            <w:r>
              <w:rPr>
                <w:rFonts w:hint="eastAsia" w:ascii="仿宋" w:hAnsi="仿宋" w:eastAsia="仿宋" w:cs="Tahoma"/>
                <w:b/>
                <w:bCs/>
                <w:color w:val="000000"/>
                <w:sz w:val="20"/>
                <w:szCs w:val="20"/>
              </w:rPr>
              <w:t>规格型</w:t>
            </w:r>
            <w:bookmarkEnd w:id="47"/>
            <w:r>
              <w:rPr>
                <w:rFonts w:hint="eastAsia" w:ascii="仿宋" w:hAnsi="仿宋" w:eastAsia="仿宋" w:cs="Tahoma"/>
                <w:b/>
                <w:bCs/>
                <w:color w:val="000000"/>
                <w:sz w:val="20"/>
                <w:szCs w:val="20"/>
              </w:rPr>
              <w:t>号</w:t>
            </w:r>
          </w:p>
          <w:p w14:paraId="22335364">
            <w:pPr>
              <w:rPr>
                <w:rFonts w:ascii="仿宋" w:hAnsi="仿宋" w:eastAsia="仿宋" w:cs="Tahoma"/>
                <w:b/>
                <w:bCs/>
                <w:color w:val="000000"/>
                <w:sz w:val="20"/>
                <w:szCs w:val="20"/>
              </w:rPr>
            </w:pPr>
            <w:r>
              <w:rPr>
                <w:rFonts w:hint="eastAsia" w:ascii="仿宋" w:hAnsi="仿宋" w:eastAsia="仿宋" w:cs="Tahoma"/>
                <w:b/>
                <w:bCs/>
                <w:color w:val="000000"/>
                <w:sz w:val="20"/>
                <w:szCs w:val="20"/>
              </w:rPr>
              <w:t>（厂家提供）</w:t>
            </w:r>
          </w:p>
        </w:tc>
        <w:tc>
          <w:tcPr>
            <w:tcW w:w="1095" w:type="pct"/>
            <w:tcBorders>
              <w:top w:val="single" w:color="auto" w:sz="4" w:space="0"/>
              <w:left w:val="nil"/>
              <w:bottom w:val="single" w:color="auto" w:sz="4" w:space="0"/>
              <w:right w:val="single" w:color="auto" w:sz="4" w:space="0"/>
            </w:tcBorders>
            <w:vAlign w:val="center"/>
          </w:tcPr>
          <w:p w14:paraId="18C66F32">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技术参数</w:t>
            </w:r>
          </w:p>
        </w:tc>
        <w:tc>
          <w:tcPr>
            <w:tcW w:w="271" w:type="pct"/>
            <w:tcBorders>
              <w:top w:val="single" w:color="auto" w:sz="4" w:space="0"/>
              <w:left w:val="nil"/>
              <w:bottom w:val="single" w:color="auto" w:sz="4" w:space="0"/>
              <w:right w:val="single" w:color="auto" w:sz="4" w:space="0"/>
            </w:tcBorders>
            <w:vAlign w:val="center"/>
          </w:tcPr>
          <w:p w14:paraId="4886FE23">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297" w:type="pct"/>
            <w:tcBorders>
              <w:top w:val="single" w:color="auto" w:sz="4" w:space="0"/>
              <w:left w:val="nil"/>
              <w:bottom w:val="single" w:color="auto" w:sz="4" w:space="0"/>
              <w:right w:val="single" w:color="auto" w:sz="4" w:space="0"/>
            </w:tcBorders>
            <w:vAlign w:val="center"/>
          </w:tcPr>
          <w:p w14:paraId="651338C1">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25" w:type="pct"/>
            <w:tcBorders>
              <w:top w:val="single" w:color="auto" w:sz="4" w:space="0"/>
              <w:left w:val="nil"/>
              <w:bottom w:val="single" w:color="auto" w:sz="4" w:space="0"/>
              <w:right w:val="single" w:color="auto" w:sz="4" w:space="0"/>
            </w:tcBorders>
            <w:vAlign w:val="center"/>
          </w:tcPr>
          <w:p w14:paraId="57564113">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含税</w:t>
            </w:r>
            <w:r>
              <w:rPr>
                <w:rFonts w:hint="eastAsia" w:ascii="仿宋" w:hAnsi="仿宋" w:eastAsia="仿宋" w:cs="Tahoma"/>
                <w:b/>
                <w:bCs/>
                <w:color w:val="000000"/>
                <w:sz w:val="20"/>
                <w:szCs w:val="20"/>
              </w:rPr>
              <w:t>单价（元）</w:t>
            </w:r>
          </w:p>
        </w:tc>
        <w:tc>
          <w:tcPr>
            <w:tcW w:w="535" w:type="pct"/>
            <w:tcBorders>
              <w:top w:val="single" w:color="auto" w:sz="4" w:space="0"/>
              <w:left w:val="nil"/>
              <w:bottom w:val="single" w:color="auto" w:sz="4" w:space="0"/>
              <w:right w:val="single" w:color="auto" w:sz="4" w:space="0"/>
            </w:tcBorders>
            <w:vAlign w:val="center"/>
          </w:tcPr>
          <w:p w14:paraId="41F361AF">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w:t>
            </w:r>
            <w:r>
              <w:rPr>
                <w:rFonts w:hint="eastAsia" w:ascii="仿宋" w:hAnsi="仿宋" w:eastAsia="仿宋" w:cs="Tahoma"/>
                <w:b/>
                <w:bCs/>
                <w:color w:val="000000"/>
                <w:sz w:val="20"/>
                <w:szCs w:val="20"/>
                <w:lang w:val="en-US" w:eastAsia="zh-CN"/>
              </w:rPr>
              <w:t xml:space="preserve"> </w:t>
            </w:r>
            <w:r>
              <w:rPr>
                <w:rFonts w:hint="eastAsia" w:ascii="仿宋" w:hAnsi="仿宋" w:eastAsia="仿宋" w:cs="Tahoma"/>
                <w:b/>
                <w:bCs/>
                <w:color w:val="000000"/>
                <w:sz w:val="20"/>
                <w:szCs w:val="20"/>
              </w:rPr>
              <w:t>（元）</w:t>
            </w:r>
          </w:p>
        </w:tc>
        <w:tc>
          <w:tcPr>
            <w:tcW w:w="531" w:type="pct"/>
            <w:tcBorders>
              <w:top w:val="single" w:color="auto" w:sz="4" w:space="0"/>
              <w:left w:val="nil"/>
              <w:bottom w:val="single" w:color="auto" w:sz="4" w:space="0"/>
              <w:right w:val="single" w:color="auto" w:sz="4" w:space="0"/>
            </w:tcBorders>
            <w:vAlign w:val="center"/>
          </w:tcPr>
          <w:p w14:paraId="288B430D">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是否提</w:t>
            </w:r>
            <w:r>
              <w:rPr>
                <w:rFonts w:hint="eastAsia" w:ascii="仿宋" w:hAnsi="仿宋" w:eastAsia="仿宋" w:cs="Tahoma"/>
                <w:b/>
                <w:bCs/>
                <w:color w:val="000000"/>
                <w:sz w:val="20"/>
                <w:szCs w:val="20"/>
                <w:lang w:val="en-US" w:eastAsia="zh-CN"/>
              </w:rPr>
              <w:t xml:space="preserve">  </w:t>
            </w:r>
            <w:r>
              <w:rPr>
                <w:rFonts w:hint="eastAsia" w:ascii="仿宋" w:hAnsi="仿宋" w:eastAsia="仿宋" w:cs="Tahoma"/>
                <w:b/>
                <w:bCs/>
                <w:color w:val="000000"/>
                <w:sz w:val="20"/>
                <w:szCs w:val="20"/>
              </w:rPr>
              <w:t>供样品</w:t>
            </w:r>
          </w:p>
        </w:tc>
        <w:tc>
          <w:tcPr>
            <w:tcW w:w="441" w:type="pct"/>
            <w:tcBorders>
              <w:top w:val="single" w:color="auto" w:sz="4" w:space="0"/>
              <w:left w:val="single" w:color="auto" w:sz="4" w:space="0"/>
              <w:bottom w:val="single" w:color="auto" w:sz="4" w:space="0"/>
              <w:right w:val="single" w:color="auto" w:sz="4" w:space="0"/>
            </w:tcBorders>
            <w:vAlign w:val="center"/>
          </w:tcPr>
          <w:p w14:paraId="5C02573B">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14:paraId="31D0127F">
        <w:tblPrEx>
          <w:tblCellMar>
            <w:top w:w="0" w:type="dxa"/>
            <w:left w:w="108" w:type="dxa"/>
            <w:bottom w:w="0" w:type="dxa"/>
            <w:right w:w="108" w:type="dxa"/>
          </w:tblCellMar>
        </w:tblPrEx>
        <w:trPr>
          <w:trHeight w:val="794" w:hRule="atLeast"/>
        </w:trPr>
        <w:tc>
          <w:tcPr>
            <w:tcW w:w="286" w:type="pct"/>
            <w:tcBorders>
              <w:top w:val="nil"/>
              <w:left w:val="single" w:color="auto" w:sz="4" w:space="0"/>
              <w:bottom w:val="single" w:color="auto" w:sz="4" w:space="0"/>
              <w:right w:val="single" w:color="auto" w:sz="4" w:space="0"/>
            </w:tcBorders>
            <w:shd w:val="clear" w:color="000000" w:fill="FFFFFF"/>
            <w:vAlign w:val="center"/>
          </w:tcPr>
          <w:p w14:paraId="772A89FB">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431" w:type="pct"/>
            <w:tcBorders>
              <w:top w:val="nil"/>
              <w:left w:val="nil"/>
              <w:bottom w:val="single" w:color="auto" w:sz="4" w:space="0"/>
              <w:right w:val="single" w:color="auto" w:sz="4" w:space="0"/>
            </w:tcBorders>
            <w:shd w:val="clear" w:color="auto" w:fill="auto"/>
            <w:vAlign w:val="center"/>
          </w:tcPr>
          <w:p w14:paraId="5AFDF8AA">
            <w:pPr>
              <w:keepNext w:val="0"/>
              <w:keepLines w:val="0"/>
              <w:pageBreakBefore w:val="0"/>
              <w:widowControl w:val="0"/>
              <w:kinsoku/>
              <w:wordWrap/>
              <w:overflowPunct/>
              <w:topLinePunct w:val="0"/>
              <w:autoSpaceDE/>
              <w:autoSpaceDN/>
              <w:bidi w:val="0"/>
              <w:adjustRightInd/>
              <w:snapToGrid/>
              <w:spacing w:after="0" w:afterLines="0" w:line="280" w:lineRule="exact"/>
              <w:ind w:left="0" w:leftChars="0" w:firstLine="0" w:firstLineChars="0"/>
              <w:jc w:val="both"/>
              <w:textAlignment w:val="auto"/>
              <w:rPr>
                <w:rFonts w:hint="eastAsia" w:ascii="仿宋" w:hAnsi="仿宋" w:eastAsia="仿宋" w:cs="仿宋"/>
                <w:sz w:val="18"/>
                <w:szCs w:val="18"/>
                <w:vertAlign w:val="baseline"/>
                <w:lang w:val="en-US" w:eastAsia="zh-CN"/>
              </w:rPr>
            </w:pPr>
            <w:r>
              <w:rPr>
                <w:rFonts w:hint="eastAsia" w:ascii="仿宋" w:hAnsi="仿宋" w:eastAsia="仿宋" w:cs="仿宋"/>
                <w:sz w:val="18"/>
                <w:szCs w:val="18"/>
                <w:vertAlign w:val="baseline"/>
                <w:lang w:val="en-US" w:eastAsia="zh-CN"/>
              </w:rPr>
              <w:t xml:space="preserve"> 3D 虚拟仿真实务技能竞赛软件</w:t>
            </w:r>
          </w:p>
          <w:p w14:paraId="76D570E1">
            <w:pPr>
              <w:jc w:val="center"/>
              <w:rPr>
                <w:rFonts w:hint="eastAsia" w:ascii="仿宋" w:hAnsi="仿宋" w:eastAsia="仿宋" w:cs="Tahoma"/>
                <w:color w:val="000000"/>
                <w:sz w:val="20"/>
                <w:szCs w:val="20"/>
                <w:lang w:val="en-US" w:eastAsia="zh-CN"/>
              </w:rPr>
            </w:pPr>
          </w:p>
        </w:tc>
        <w:tc>
          <w:tcPr>
            <w:tcW w:w="685" w:type="pct"/>
            <w:tcBorders>
              <w:top w:val="nil"/>
              <w:left w:val="nil"/>
              <w:bottom w:val="single" w:color="auto" w:sz="4" w:space="0"/>
              <w:right w:val="single" w:color="auto" w:sz="4" w:space="0"/>
            </w:tcBorders>
            <w:shd w:val="clear" w:color="000000" w:fill="FFFFFF"/>
            <w:vAlign w:val="center"/>
          </w:tcPr>
          <w:p w14:paraId="7B61B9BF">
            <w:pPr>
              <w:rPr>
                <w:rFonts w:ascii="仿宋" w:hAnsi="仿宋" w:eastAsia="仿宋" w:cs="Tahoma"/>
                <w:color w:val="000000"/>
                <w:sz w:val="20"/>
                <w:szCs w:val="20"/>
              </w:rPr>
            </w:pPr>
          </w:p>
        </w:tc>
        <w:tc>
          <w:tcPr>
            <w:tcW w:w="1095" w:type="pct"/>
            <w:tcBorders>
              <w:top w:val="nil"/>
              <w:left w:val="nil"/>
              <w:bottom w:val="single" w:color="auto" w:sz="4" w:space="0"/>
              <w:right w:val="single" w:color="auto" w:sz="4" w:space="0"/>
            </w:tcBorders>
            <w:shd w:val="clear" w:color="000000" w:fill="FFFFFF"/>
            <w:vAlign w:val="center"/>
          </w:tcPr>
          <w:p w14:paraId="2DA1DACB">
            <w:pP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1.产品须为云端部署，无需本地服务器安装，支持手机号验证码、密码登录，微信、支付宝扫码登录等。 </w:t>
            </w:r>
          </w:p>
          <w:p w14:paraId="18B5EA1E">
            <w:pP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2.支持教师端新建群组，学生可以通过群号搜索加入群组；教师端也可以将群链接复制，将链接发送给要邀请的学生即可。 </w:t>
            </w:r>
          </w:p>
          <w:p w14:paraId="1C98F650">
            <w:pP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3.支持教师端点击“医务社工大赛” 模块进入，发布教学计划时，自定义标题、选择归属群和设定起止时间。 </w:t>
            </w:r>
          </w:p>
          <w:p w14:paraId="1038B31F">
            <w:pP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4.软件搭建3D立体城市社区，学生端的场景包括儿童专科医院、三甲综合医院和养老院，涉及了儿童、成人和老人，同时涵盖多种疾病种类，提供多样化的项目分析工具。 </w:t>
            </w:r>
          </w:p>
          <w:p w14:paraId="710B10DA">
            <w:pP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 xml:space="preserve">5.软件支持多个场景的切换，学生可以通过主场景进行一键切换至另外一个场景，例如从儿童专科类医院切换至三甲综合医院或养老院等。 </w:t>
            </w:r>
          </w:p>
        </w:tc>
        <w:tc>
          <w:tcPr>
            <w:tcW w:w="271" w:type="pct"/>
            <w:tcBorders>
              <w:top w:val="nil"/>
              <w:left w:val="nil"/>
              <w:bottom w:val="single" w:color="auto" w:sz="4" w:space="0"/>
              <w:right w:val="single" w:color="auto" w:sz="4" w:space="0"/>
            </w:tcBorders>
            <w:vAlign w:val="center"/>
          </w:tcPr>
          <w:p w14:paraId="27598CD6">
            <w:pPr>
              <w:jc w:val="center"/>
              <w:rPr>
                <w:rFonts w:hint="eastAsia"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套</w:t>
            </w:r>
          </w:p>
        </w:tc>
        <w:tc>
          <w:tcPr>
            <w:tcW w:w="297" w:type="pct"/>
            <w:tcBorders>
              <w:top w:val="nil"/>
              <w:left w:val="nil"/>
              <w:bottom w:val="single" w:color="auto" w:sz="4" w:space="0"/>
              <w:right w:val="single" w:color="auto" w:sz="4" w:space="0"/>
            </w:tcBorders>
            <w:vAlign w:val="center"/>
          </w:tcPr>
          <w:p w14:paraId="186307D9">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w:t>
            </w:r>
          </w:p>
        </w:tc>
        <w:tc>
          <w:tcPr>
            <w:tcW w:w="425" w:type="pct"/>
            <w:tcBorders>
              <w:top w:val="nil"/>
              <w:left w:val="nil"/>
              <w:bottom w:val="single" w:color="auto" w:sz="4" w:space="0"/>
              <w:right w:val="single" w:color="auto" w:sz="4" w:space="0"/>
            </w:tcBorders>
            <w:vAlign w:val="center"/>
          </w:tcPr>
          <w:p w14:paraId="06A51732">
            <w:pPr>
              <w:jc w:val="center"/>
              <w:rPr>
                <w:rFonts w:ascii="仿宋" w:hAnsi="仿宋" w:eastAsia="仿宋" w:cs="Tahoma"/>
                <w:color w:val="000000"/>
                <w:sz w:val="20"/>
                <w:szCs w:val="20"/>
              </w:rPr>
            </w:pPr>
          </w:p>
        </w:tc>
        <w:tc>
          <w:tcPr>
            <w:tcW w:w="535" w:type="pct"/>
            <w:tcBorders>
              <w:top w:val="nil"/>
              <w:left w:val="nil"/>
              <w:bottom w:val="single" w:color="auto" w:sz="4" w:space="0"/>
              <w:right w:val="single" w:color="auto" w:sz="4" w:space="0"/>
            </w:tcBorders>
            <w:vAlign w:val="center"/>
          </w:tcPr>
          <w:p w14:paraId="2AF13540">
            <w:pPr>
              <w:jc w:val="center"/>
              <w:rPr>
                <w:rFonts w:ascii="仿宋" w:hAnsi="仿宋" w:eastAsia="仿宋" w:cs="Tahoma"/>
                <w:b/>
                <w:bCs/>
                <w:color w:val="000000"/>
                <w:sz w:val="20"/>
                <w:szCs w:val="20"/>
              </w:rPr>
            </w:pPr>
          </w:p>
        </w:tc>
        <w:tc>
          <w:tcPr>
            <w:tcW w:w="531" w:type="pct"/>
            <w:tcBorders>
              <w:top w:val="single" w:color="auto" w:sz="4" w:space="0"/>
              <w:left w:val="nil"/>
              <w:bottom w:val="single" w:color="auto" w:sz="4" w:space="0"/>
              <w:right w:val="single" w:color="auto" w:sz="4" w:space="0"/>
            </w:tcBorders>
            <w:vAlign w:val="center"/>
          </w:tcPr>
          <w:p w14:paraId="0504D453">
            <w:pPr>
              <w:jc w:val="both"/>
              <w:rPr>
                <w:rFonts w:hint="default" w:ascii="仿宋" w:hAnsi="仿宋" w:eastAsia="仿宋" w:cs="Tahoma"/>
                <w:b/>
                <w:bCs/>
                <w:color w:val="000000"/>
                <w:sz w:val="20"/>
                <w:szCs w:val="20"/>
                <w:lang w:val="en-US" w:eastAsia="zh-CN"/>
              </w:rPr>
            </w:pPr>
            <w:r>
              <w:rPr>
                <w:rFonts w:hint="eastAsia" w:ascii="仿宋" w:hAnsi="仿宋" w:eastAsia="仿宋" w:cs="Tahoma"/>
                <w:color w:val="000000"/>
                <w:sz w:val="20"/>
                <w:szCs w:val="20"/>
                <w:lang w:val="en-US" w:eastAsia="zh-CN"/>
              </w:rPr>
              <w:t>磋商现场须进行系统实操演示</w:t>
            </w:r>
            <w:bookmarkStart w:id="180" w:name="_GoBack"/>
            <w:bookmarkEnd w:id="180"/>
          </w:p>
        </w:tc>
        <w:tc>
          <w:tcPr>
            <w:tcW w:w="441" w:type="pct"/>
            <w:tcBorders>
              <w:top w:val="single" w:color="auto" w:sz="4" w:space="0"/>
              <w:left w:val="single" w:color="auto" w:sz="4" w:space="0"/>
              <w:bottom w:val="single" w:color="auto" w:sz="4" w:space="0"/>
              <w:right w:val="single" w:color="auto" w:sz="4" w:space="0"/>
            </w:tcBorders>
            <w:vAlign w:val="center"/>
          </w:tcPr>
          <w:p w14:paraId="533B0C12">
            <w:pPr>
              <w:jc w:val="center"/>
              <w:rPr>
                <w:rFonts w:ascii="仿宋" w:hAnsi="仿宋" w:eastAsia="仿宋" w:cs="Tahoma"/>
                <w:b/>
                <w:bCs/>
                <w:color w:val="000000"/>
                <w:sz w:val="20"/>
                <w:szCs w:val="20"/>
              </w:rPr>
            </w:pPr>
          </w:p>
        </w:tc>
      </w:tr>
    </w:tbl>
    <w:p w14:paraId="167FF0A4">
      <w:pPr>
        <w:spacing w:line="400" w:lineRule="exact"/>
        <w:rPr>
          <w:rFonts w:ascii="仿宋" w:hAnsi="仿宋" w:eastAsia="仿宋"/>
          <w:sz w:val="24"/>
          <w:szCs w:val="24"/>
        </w:rPr>
      </w:pPr>
      <w:r>
        <w:rPr>
          <w:rFonts w:hint="eastAsia" w:ascii="仿宋" w:hAnsi="仿宋" w:eastAsia="仿宋"/>
          <w:sz w:val="24"/>
          <w:szCs w:val="24"/>
        </w:rPr>
        <w:t>注：</w:t>
      </w:r>
    </w:p>
    <w:p w14:paraId="29AA2475">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本项目采用“公开询价”方式进行，《公开询价货物一览表》中所描述的“名称</w:t>
      </w:r>
      <w:r>
        <w:rPr>
          <w:rFonts w:hint="eastAsia" w:ascii="仿宋" w:hAnsi="仿宋" w:eastAsia="仿宋"/>
          <w:bCs/>
          <w:sz w:val="24"/>
          <w:szCs w:val="24"/>
          <w:lang w:eastAsia="zh-CN"/>
        </w:rPr>
        <w:t>”“</w:t>
      </w:r>
      <w:r>
        <w:rPr>
          <w:rFonts w:hint="eastAsia" w:ascii="仿宋" w:hAnsi="仿宋" w:eastAsia="仿宋"/>
          <w:bCs/>
          <w:sz w:val="24"/>
          <w:szCs w:val="24"/>
        </w:rPr>
        <w:t>技术参数”等信息均为采购人根据自身需求提供的参考数据，除采购人特殊要求外，参与人可根据以上信息在满足采购人要求基础上提供优化方案及所匹配产品，采购人将优先选择性价比高且符合要求的产品。</w:t>
      </w:r>
    </w:p>
    <w:p w14:paraId="3B0E9380">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14:paraId="57DDE54E">
      <w:pPr>
        <w:numPr>
          <w:ilvl w:val="0"/>
          <w:numId w:val="6"/>
        </w:numPr>
        <w:spacing w:after="0" w:line="440" w:lineRule="exac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sz w:val="24"/>
          <w:szCs w:val="24"/>
        </w:rPr>
        <w:t>参与人所投商品报价应包含税费、运输</w:t>
      </w:r>
      <w:r>
        <w:rPr>
          <w:rFonts w:hint="eastAsia" w:ascii="仿宋" w:hAnsi="仿宋" w:eastAsia="仿宋"/>
          <w:bCs/>
          <w:color w:val="000000" w:themeColor="text1"/>
          <w:sz w:val="24"/>
          <w:szCs w:val="24"/>
          <w14:textFill>
            <w14:solidFill>
              <w14:schemeClr w14:val="tx1"/>
            </w14:solidFill>
          </w14:textFill>
        </w:rPr>
        <w:t>费、搬运费、整体实施、设计方案或实施方案、安装调试费、售后服务等一切费用。</w:t>
      </w:r>
    </w:p>
    <w:p w14:paraId="4AAEAEB5">
      <w:pPr>
        <w:spacing w:line="500" w:lineRule="exact"/>
        <w:jc w:val="left"/>
        <w:rPr>
          <w:rFonts w:ascii="仿宋" w:hAnsi="仿宋" w:eastAsia="仿宋"/>
          <w:b/>
          <w:color w:val="FF0000"/>
          <w:sz w:val="36"/>
          <w:szCs w:val="36"/>
        </w:rPr>
      </w:pPr>
    </w:p>
    <w:p w14:paraId="6FCBC208">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14:paraId="5CB244CC">
      <w:pPr>
        <w:rPr>
          <w:rFonts w:ascii="仿宋" w:hAnsi="仿宋" w:eastAsia="仿宋"/>
          <w:b/>
          <w:color w:val="FF0000"/>
          <w:sz w:val="36"/>
          <w:szCs w:val="36"/>
        </w:rPr>
      </w:pPr>
    </w:p>
    <w:p w14:paraId="52731EDC">
      <w:pPr>
        <w:spacing w:line="1000" w:lineRule="exact"/>
        <w:jc w:val="center"/>
        <w:rPr>
          <w:rFonts w:ascii="仿宋" w:hAnsi="仿宋" w:eastAsia="仿宋"/>
          <w:b/>
          <w:sz w:val="72"/>
          <w:szCs w:val="72"/>
        </w:rPr>
      </w:pPr>
    </w:p>
    <w:p w14:paraId="2382B59E">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广州应用科技学院</w:t>
      </w:r>
    </w:p>
    <w:p w14:paraId="2CF18843">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eastAsia="zh-CN"/>
        </w:rPr>
        <w:t>虚拟仿真实务技能竞赛软件</w:t>
      </w:r>
      <w:r>
        <w:rPr>
          <w:rFonts w:hint="eastAsia" w:ascii="仿宋" w:hAnsi="仿宋" w:eastAsia="仿宋"/>
          <w:b/>
          <w:sz w:val="44"/>
          <w:szCs w:val="44"/>
        </w:rPr>
        <w:t>采购项目</w:t>
      </w:r>
    </w:p>
    <w:p w14:paraId="69BA6321">
      <w:pPr>
        <w:spacing w:line="580" w:lineRule="exact"/>
        <w:jc w:val="center"/>
        <w:rPr>
          <w:rFonts w:ascii="仿宋" w:hAnsi="仿宋" w:eastAsia="仿宋"/>
          <w:b/>
          <w:sz w:val="52"/>
          <w:szCs w:val="52"/>
        </w:rPr>
      </w:pPr>
    </w:p>
    <w:p w14:paraId="72A68343">
      <w:pPr>
        <w:spacing w:line="580" w:lineRule="exact"/>
        <w:jc w:val="center"/>
        <w:rPr>
          <w:rFonts w:ascii="仿宋" w:hAnsi="仿宋" w:eastAsia="仿宋"/>
          <w:b/>
          <w:sz w:val="52"/>
          <w:szCs w:val="52"/>
        </w:rPr>
      </w:pPr>
      <w:r>
        <w:rPr>
          <w:rFonts w:hint="eastAsia" w:ascii="仿宋" w:hAnsi="仿宋" w:eastAsia="仿宋"/>
          <w:b/>
          <w:sz w:val="52"/>
          <w:szCs w:val="52"/>
        </w:rPr>
        <w:t>报</w:t>
      </w:r>
    </w:p>
    <w:p w14:paraId="70D2AD38">
      <w:pPr>
        <w:spacing w:line="580" w:lineRule="exact"/>
        <w:jc w:val="center"/>
        <w:rPr>
          <w:rFonts w:ascii="仿宋" w:hAnsi="仿宋" w:eastAsia="仿宋"/>
          <w:b/>
          <w:sz w:val="52"/>
          <w:szCs w:val="52"/>
        </w:rPr>
      </w:pPr>
      <w:r>
        <w:rPr>
          <w:rFonts w:hint="eastAsia" w:ascii="仿宋" w:hAnsi="仿宋" w:eastAsia="仿宋"/>
          <w:b/>
          <w:sz w:val="52"/>
          <w:szCs w:val="52"/>
        </w:rPr>
        <w:t>价</w:t>
      </w:r>
    </w:p>
    <w:p w14:paraId="50C94C7A">
      <w:pPr>
        <w:spacing w:line="580" w:lineRule="exact"/>
        <w:jc w:val="center"/>
        <w:rPr>
          <w:rFonts w:ascii="仿宋" w:hAnsi="仿宋" w:eastAsia="仿宋"/>
          <w:b/>
          <w:sz w:val="52"/>
          <w:szCs w:val="52"/>
        </w:rPr>
      </w:pPr>
      <w:r>
        <w:rPr>
          <w:rFonts w:hint="eastAsia" w:ascii="仿宋" w:hAnsi="仿宋" w:eastAsia="仿宋"/>
          <w:b/>
          <w:sz w:val="52"/>
          <w:szCs w:val="52"/>
        </w:rPr>
        <w:t>响</w:t>
      </w:r>
    </w:p>
    <w:p w14:paraId="34446277">
      <w:pPr>
        <w:spacing w:line="580" w:lineRule="exact"/>
        <w:jc w:val="center"/>
        <w:rPr>
          <w:rFonts w:ascii="仿宋" w:hAnsi="仿宋" w:eastAsia="仿宋"/>
          <w:b/>
          <w:sz w:val="52"/>
          <w:szCs w:val="52"/>
        </w:rPr>
      </w:pPr>
      <w:r>
        <w:rPr>
          <w:rFonts w:hint="eastAsia" w:ascii="仿宋" w:hAnsi="仿宋" w:eastAsia="仿宋"/>
          <w:b/>
          <w:sz w:val="52"/>
          <w:szCs w:val="52"/>
        </w:rPr>
        <w:t>应</w:t>
      </w:r>
    </w:p>
    <w:p w14:paraId="473AA1C4">
      <w:pPr>
        <w:spacing w:line="580" w:lineRule="exact"/>
        <w:jc w:val="center"/>
        <w:rPr>
          <w:rFonts w:ascii="仿宋" w:hAnsi="仿宋" w:eastAsia="仿宋"/>
          <w:b/>
          <w:sz w:val="52"/>
          <w:szCs w:val="52"/>
        </w:rPr>
      </w:pPr>
      <w:r>
        <w:rPr>
          <w:rFonts w:hint="eastAsia" w:ascii="仿宋" w:hAnsi="仿宋" w:eastAsia="仿宋"/>
          <w:b/>
          <w:sz w:val="52"/>
          <w:szCs w:val="52"/>
        </w:rPr>
        <w:t>文</w:t>
      </w:r>
    </w:p>
    <w:p w14:paraId="065584FA">
      <w:pPr>
        <w:spacing w:line="580" w:lineRule="exact"/>
        <w:jc w:val="center"/>
        <w:rPr>
          <w:rFonts w:ascii="仿宋" w:hAnsi="仿宋" w:eastAsia="仿宋"/>
          <w:b/>
          <w:sz w:val="52"/>
          <w:szCs w:val="52"/>
        </w:rPr>
      </w:pPr>
      <w:r>
        <w:rPr>
          <w:rFonts w:hint="eastAsia" w:ascii="仿宋" w:hAnsi="仿宋" w:eastAsia="仿宋"/>
          <w:b/>
          <w:sz w:val="52"/>
          <w:szCs w:val="52"/>
        </w:rPr>
        <w:t>件</w:t>
      </w:r>
    </w:p>
    <w:p w14:paraId="27C64061">
      <w:pPr>
        <w:spacing w:line="580" w:lineRule="exact"/>
        <w:jc w:val="center"/>
        <w:rPr>
          <w:rFonts w:ascii="仿宋" w:hAnsi="仿宋" w:eastAsia="仿宋"/>
          <w:b/>
          <w:sz w:val="72"/>
          <w:szCs w:val="72"/>
        </w:rPr>
      </w:pPr>
    </w:p>
    <w:p w14:paraId="5A7B007B">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14:paraId="74322ABA">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14:paraId="17E51FEC">
      <w:pPr>
        <w:spacing w:line="500" w:lineRule="exact"/>
        <w:ind w:firstLine="2331" w:firstLineChars="645"/>
        <w:rPr>
          <w:rFonts w:hint="default" w:ascii="仿宋" w:hAnsi="仿宋" w:eastAsia="仿宋"/>
          <w:b/>
          <w:color w:val="FF0000"/>
          <w:sz w:val="36"/>
          <w:szCs w:val="36"/>
          <w:lang w:val="en-US" w:eastAsia="zh-CN"/>
        </w:rPr>
      </w:pPr>
      <w:r>
        <w:rPr>
          <w:rFonts w:hint="eastAsia" w:ascii="仿宋" w:hAnsi="仿宋" w:eastAsia="仿宋"/>
          <w:b/>
          <w:sz w:val="36"/>
          <w:szCs w:val="36"/>
          <w:lang w:val="en-US" w:eastAsia="zh-CN"/>
        </w:rPr>
        <w:t>参与人授权人电话：</w:t>
      </w:r>
      <w:r>
        <w:rPr>
          <w:rFonts w:hint="eastAsia" w:ascii="仿宋" w:hAnsi="仿宋" w:eastAsia="仿宋"/>
          <w:b/>
          <w:color w:val="FF0000"/>
          <w:sz w:val="36"/>
          <w:szCs w:val="36"/>
        </w:rPr>
        <w:t>X</w:t>
      </w:r>
      <w:r>
        <w:rPr>
          <w:rFonts w:ascii="仿宋" w:hAnsi="仿宋" w:eastAsia="仿宋"/>
          <w:b/>
          <w:color w:val="FF0000"/>
          <w:sz w:val="36"/>
          <w:szCs w:val="36"/>
        </w:rPr>
        <w:t>XXX</w:t>
      </w:r>
    </w:p>
    <w:p w14:paraId="18521370">
      <w:pPr>
        <w:jc w:val="center"/>
        <w:rPr>
          <w:rFonts w:ascii="仿宋" w:hAnsi="仿宋" w:eastAsia="仿宋"/>
          <w:b/>
          <w:sz w:val="36"/>
          <w:szCs w:val="36"/>
        </w:rPr>
      </w:pPr>
    </w:p>
    <w:p w14:paraId="137DC44D">
      <w:pPr>
        <w:ind w:firstLine="2711" w:firstLineChars="900"/>
        <w:jc w:val="both"/>
        <w:rPr>
          <w:rFonts w:ascii="仿宋" w:hAnsi="仿宋" w:eastAsia="仿宋"/>
          <w:b/>
          <w:bCs/>
          <w:sz w:val="30"/>
          <w:szCs w:val="30"/>
        </w:rPr>
      </w:pPr>
      <w:r>
        <w:rPr>
          <w:rFonts w:hint="eastAsia" w:ascii="仿宋" w:hAnsi="仿宋" w:eastAsia="仿宋"/>
          <w:b/>
          <w:bCs/>
          <w:sz w:val="30"/>
          <w:szCs w:val="30"/>
        </w:rPr>
        <w:t>此封面应作为报价响应文件封面</w:t>
      </w:r>
    </w:p>
    <w:p w14:paraId="568BBE6C">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14:paraId="5A922E8F">
      <w:pPr>
        <w:jc w:val="center"/>
        <w:outlineLvl w:val="1"/>
        <w:rPr>
          <w:rFonts w:ascii="仿宋" w:hAnsi="仿宋" w:eastAsia="仿宋"/>
          <w:b/>
          <w:bCs/>
          <w:sz w:val="24"/>
          <w:szCs w:val="24"/>
        </w:rPr>
      </w:pPr>
      <w:bookmarkStart w:id="48" w:name="_Toc266870432"/>
      <w:bookmarkStart w:id="49" w:name="_Toc267059539"/>
      <w:bookmarkStart w:id="50" w:name="_Toc177985469"/>
      <w:bookmarkStart w:id="51" w:name="_Toc160880160"/>
      <w:bookmarkStart w:id="52" w:name="_Toc170798793"/>
      <w:bookmarkStart w:id="53" w:name="_Toc267059181"/>
      <w:bookmarkStart w:id="54" w:name="_Toc217891402"/>
      <w:bookmarkStart w:id="55" w:name="_Toc266870907"/>
      <w:bookmarkStart w:id="56" w:name="_Toc227058530"/>
      <w:bookmarkStart w:id="57" w:name="_Toc249325711"/>
      <w:bookmarkStart w:id="58" w:name="_Toc225669322"/>
      <w:bookmarkStart w:id="59" w:name="_Toc266870833"/>
      <w:bookmarkStart w:id="60" w:name="_Toc192664153"/>
      <w:bookmarkStart w:id="61" w:name="_Toc181436565"/>
      <w:bookmarkStart w:id="62" w:name="_Toc191789329"/>
      <w:bookmarkStart w:id="63" w:name="_Toc181436461"/>
      <w:bookmarkStart w:id="64" w:name="_Toc259692647"/>
      <w:bookmarkStart w:id="65" w:name="_Toc160880529"/>
      <w:bookmarkStart w:id="66" w:name="_Toc273178698"/>
      <w:bookmarkStart w:id="67" w:name="_Toc267059653"/>
      <w:bookmarkStart w:id="68" w:name="_Toc255975007"/>
      <w:bookmarkStart w:id="69" w:name="_Toc267060208"/>
      <w:bookmarkStart w:id="70" w:name="_Toc235438344"/>
      <w:bookmarkStart w:id="71" w:name="_Toc232302115"/>
      <w:bookmarkStart w:id="72" w:name="_Toc192663686"/>
      <w:bookmarkStart w:id="73" w:name="_Toc236021449"/>
      <w:bookmarkStart w:id="74" w:name="_Toc259520865"/>
      <w:bookmarkStart w:id="75" w:name="_Toc191803626"/>
      <w:bookmarkStart w:id="76" w:name="_Toc213755939"/>
      <w:bookmarkStart w:id="77" w:name="_Toc266868937"/>
      <w:bookmarkStart w:id="78" w:name="_Toc267060068"/>
      <w:bookmarkStart w:id="79" w:name="_Toc191802690"/>
      <w:bookmarkStart w:id="80" w:name="_Toc192996446"/>
      <w:bookmarkStart w:id="81" w:name="_Toc253066614"/>
      <w:bookmarkStart w:id="82" w:name="_Toc193165734"/>
      <w:bookmarkStart w:id="83" w:name="_Toc267059030"/>
      <w:bookmarkStart w:id="84" w:name="_Toc219800243"/>
      <w:bookmarkStart w:id="85" w:name="_Toc213755858"/>
      <w:bookmarkStart w:id="86" w:name="_Toc193160448"/>
      <w:bookmarkStart w:id="87" w:name="_Toc223146608"/>
      <w:bookmarkStart w:id="88" w:name="_Toc259692740"/>
      <w:bookmarkStart w:id="89" w:name="_Toc266868670"/>
      <w:bookmarkStart w:id="90" w:name="_Toc251613829"/>
      <w:bookmarkStart w:id="91" w:name="_Toc235438274"/>
      <w:bookmarkStart w:id="92" w:name="_Toc267059919"/>
      <w:bookmarkStart w:id="93" w:name="_Toc235437991"/>
      <w:bookmarkStart w:id="94" w:name="_Toc213208766"/>
      <w:bookmarkStart w:id="95" w:name="_Toc258401256"/>
      <w:bookmarkStart w:id="96" w:name="_Toc169332838"/>
      <w:bookmarkStart w:id="97" w:name="_Toc180302913"/>
      <w:bookmarkStart w:id="98" w:name="_Toc192663835"/>
      <w:bookmarkStart w:id="99" w:name="_Toc251586231"/>
      <w:bookmarkStart w:id="100" w:name="_Toc267060453"/>
      <w:bookmarkStart w:id="101" w:name="_Toc182805217"/>
      <w:bookmarkStart w:id="102" w:name="_Toc213756051"/>
      <w:bookmarkStart w:id="103" w:name="_Toc169332949"/>
      <w:bookmarkStart w:id="104" w:name="_Toc182372782"/>
      <w:bookmarkStart w:id="105" w:name="_Toc230071147"/>
      <w:bookmarkStart w:id="106" w:name="_Toc267059806"/>
      <w:bookmarkStart w:id="107" w:name="_Toc203355733"/>
      <w:bookmarkStart w:id="108" w:name="_Toc213755995"/>
      <w:bookmarkStart w:id="109" w:name="_Toc192996338"/>
      <w:bookmarkStart w:id="110" w:name="_Toc267060321"/>
      <w:bookmarkStart w:id="111" w:name="_Toc254790899"/>
      <w:bookmarkStart w:id="112" w:name="_Toc191783222"/>
      <w:bookmarkStart w:id="113" w:name="_Toc211917116"/>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14:paraId="097996CE">
      <w:pPr>
        <w:spacing w:after="0" w:line="480" w:lineRule="exact"/>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致：</w:t>
      </w:r>
      <w:r>
        <w:rPr>
          <w:rFonts w:hint="eastAsia" w:ascii="仿宋" w:hAnsi="仿宋" w:eastAsia="仿宋"/>
          <w:color w:val="000000" w:themeColor="text1"/>
          <w:sz w:val="24"/>
          <w:szCs w:val="24"/>
          <w:lang w:val="en-US" w:eastAsia="zh-CN"/>
          <w14:textFill>
            <w14:solidFill>
              <w14:schemeClr w14:val="tx1"/>
            </w14:solidFill>
          </w14:textFill>
        </w:rPr>
        <w:t>广州应用科技学院</w:t>
      </w:r>
    </w:p>
    <w:p w14:paraId="1F0064CE">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14:paraId="3BC8C8ED">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14:paraId="420DFC5B">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14:paraId="2B7C2AD9">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14:paraId="5CFC1745">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14:paraId="0CDB6767">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14:paraId="75E68F71">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14:paraId="5476BFA2">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14:paraId="143D50B0">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14:paraId="117EEA06">
      <w:pPr>
        <w:spacing w:after="0" w:line="480" w:lineRule="exact"/>
        <w:ind w:firstLine="480" w:firstLineChars="200"/>
        <w:rPr>
          <w:rFonts w:hint="eastAsia" w:ascii="仿宋" w:hAnsi="仿宋" w:eastAsia="仿宋"/>
          <w:sz w:val="24"/>
          <w:szCs w:val="24"/>
        </w:rPr>
      </w:pPr>
      <w:r>
        <w:rPr>
          <w:rFonts w:hint="eastAsia" w:ascii="仿宋" w:hAnsi="仿宋" w:eastAsia="仿宋"/>
          <w:sz w:val="24"/>
          <w:szCs w:val="24"/>
        </w:rPr>
        <w:t>6.完全了解本项目是贵方自有资金而非财政性资金组织的采购，并接受贵方按企业内部规定的标准进行的评定，以及完全理解贵方不一定要接受最低的报价作为成交价。</w:t>
      </w:r>
    </w:p>
    <w:p w14:paraId="0DC41F7F">
      <w:pPr>
        <w:spacing w:after="0" w:line="480" w:lineRule="exact"/>
        <w:ind w:firstLine="480" w:firstLineChars="200"/>
        <w:rPr>
          <w:rFonts w:ascii="仿宋" w:hAnsi="仿宋" w:eastAsia="仿宋"/>
          <w:sz w:val="24"/>
          <w:szCs w:val="24"/>
        </w:rPr>
      </w:pPr>
    </w:p>
    <w:p w14:paraId="20BFA491">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14:paraId="24EB05B4">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14:paraId="6C21E7EC">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14:paraId="10FCEA06">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14:paraId="6E02D59E">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14:paraId="39AFFD77">
      <w:pPr>
        <w:pStyle w:val="57"/>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14:paraId="7DDA95EB">
      <w:pPr>
        <w:rPr>
          <w:rFonts w:ascii="仿宋" w:hAnsi="仿宋" w:eastAsia="仿宋" w:cs="Times New Roman"/>
          <w:kern w:val="2"/>
          <w:sz w:val="24"/>
          <w:szCs w:val="24"/>
        </w:rPr>
      </w:pPr>
      <w:r>
        <w:rPr>
          <w:rFonts w:ascii="仿宋" w:hAnsi="仿宋" w:eastAsia="仿宋"/>
          <w:sz w:val="24"/>
          <w:szCs w:val="24"/>
        </w:rPr>
        <w:br w:type="page"/>
      </w:r>
    </w:p>
    <w:p w14:paraId="36BE9B20">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14:paraId="148AC9B9">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14:paraId="26FAD5F6">
      <w:pPr>
        <w:spacing w:line="380" w:lineRule="exact"/>
        <w:ind w:left="147" w:leftChars="67"/>
        <w:rPr>
          <w:rFonts w:hint="eastAsia" w:ascii="仿宋" w:hAnsi="仿宋" w:eastAsia="仿宋"/>
          <w:sz w:val="24"/>
          <w:szCs w:val="24"/>
          <w:lang w:val="en-US" w:eastAsia="zh-CN"/>
        </w:rPr>
      </w:pPr>
      <w:r>
        <w:rPr>
          <w:rFonts w:hint="eastAsia" w:ascii="仿宋" w:hAnsi="仿宋" w:eastAsia="仿宋"/>
          <w:sz w:val="24"/>
          <w:szCs w:val="24"/>
        </w:rPr>
        <w:t>货币单位：</w:t>
      </w:r>
      <w:r>
        <w:rPr>
          <w:rFonts w:hint="eastAsia" w:ascii="仿宋" w:hAnsi="仿宋" w:eastAsia="仿宋"/>
          <w:sz w:val="24"/>
          <w:szCs w:val="24"/>
          <w:lang w:val="en-US" w:eastAsia="zh-CN"/>
        </w:rPr>
        <w:t>元</w:t>
      </w:r>
    </w:p>
    <w:tbl>
      <w:tblPr>
        <w:tblStyle w:val="23"/>
        <w:tblW w:w="5134" w:type="pct"/>
        <w:tblInd w:w="0" w:type="dxa"/>
        <w:tblLayout w:type="autofit"/>
        <w:tblCellMar>
          <w:top w:w="0" w:type="dxa"/>
          <w:left w:w="108" w:type="dxa"/>
          <w:bottom w:w="0" w:type="dxa"/>
          <w:right w:w="108" w:type="dxa"/>
        </w:tblCellMar>
      </w:tblPr>
      <w:tblGrid>
        <w:gridCol w:w="671"/>
        <w:gridCol w:w="1112"/>
        <w:gridCol w:w="1450"/>
        <w:gridCol w:w="1511"/>
        <w:gridCol w:w="699"/>
        <w:gridCol w:w="695"/>
        <w:gridCol w:w="838"/>
        <w:gridCol w:w="909"/>
        <w:gridCol w:w="976"/>
        <w:gridCol w:w="968"/>
      </w:tblGrid>
      <w:tr w14:paraId="6F5C1DC4">
        <w:tblPrEx>
          <w:tblCellMar>
            <w:top w:w="0" w:type="dxa"/>
            <w:left w:w="108" w:type="dxa"/>
            <w:bottom w:w="0" w:type="dxa"/>
            <w:right w:w="108" w:type="dxa"/>
          </w:tblCellMar>
        </w:tblPrEx>
        <w:trPr>
          <w:trHeight w:val="492" w:hRule="atLeast"/>
        </w:trPr>
        <w:tc>
          <w:tcPr>
            <w:tcW w:w="341" w:type="pct"/>
            <w:tcBorders>
              <w:top w:val="single" w:color="auto" w:sz="4" w:space="0"/>
              <w:left w:val="single" w:color="auto" w:sz="4" w:space="0"/>
              <w:bottom w:val="single" w:color="auto" w:sz="4" w:space="0"/>
              <w:right w:val="single" w:color="auto" w:sz="4" w:space="0"/>
            </w:tcBorders>
            <w:vAlign w:val="center"/>
          </w:tcPr>
          <w:p w14:paraId="13671F63">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65" w:type="pct"/>
            <w:tcBorders>
              <w:top w:val="single" w:color="auto" w:sz="4" w:space="0"/>
              <w:left w:val="nil"/>
              <w:bottom w:val="single" w:color="auto" w:sz="4" w:space="0"/>
              <w:right w:val="single" w:color="auto" w:sz="4" w:space="0"/>
            </w:tcBorders>
            <w:vAlign w:val="center"/>
          </w:tcPr>
          <w:p w14:paraId="551D1474">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名称</w:t>
            </w:r>
          </w:p>
        </w:tc>
        <w:tc>
          <w:tcPr>
            <w:tcW w:w="737" w:type="pct"/>
            <w:tcBorders>
              <w:top w:val="single" w:color="auto" w:sz="4" w:space="0"/>
              <w:left w:val="nil"/>
              <w:bottom w:val="single" w:color="auto" w:sz="4" w:space="0"/>
              <w:right w:val="single" w:color="auto" w:sz="4" w:space="0"/>
            </w:tcBorders>
            <w:vAlign w:val="center"/>
          </w:tcPr>
          <w:p w14:paraId="7E0C82AB">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品牌</w:t>
            </w:r>
            <w:r>
              <w:rPr>
                <w:rFonts w:hint="eastAsia" w:ascii="仿宋" w:hAnsi="仿宋" w:eastAsia="仿宋" w:cs="Tahoma"/>
                <w:b/>
                <w:bCs/>
                <w:color w:val="000000"/>
                <w:sz w:val="20"/>
                <w:szCs w:val="20"/>
              </w:rPr>
              <w:t>规格型号</w:t>
            </w:r>
          </w:p>
        </w:tc>
        <w:tc>
          <w:tcPr>
            <w:tcW w:w="768" w:type="pct"/>
            <w:tcBorders>
              <w:top w:val="single" w:color="auto" w:sz="4" w:space="0"/>
              <w:left w:val="nil"/>
              <w:bottom w:val="single" w:color="auto" w:sz="4" w:space="0"/>
              <w:right w:val="single" w:color="auto" w:sz="4" w:space="0"/>
            </w:tcBorders>
            <w:vAlign w:val="center"/>
          </w:tcPr>
          <w:p w14:paraId="2323284F">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技术参数</w:t>
            </w:r>
          </w:p>
        </w:tc>
        <w:tc>
          <w:tcPr>
            <w:tcW w:w="355" w:type="pct"/>
            <w:tcBorders>
              <w:top w:val="single" w:color="auto" w:sz="4" w:space="0"/>
              <w:left w:val="nil"/>
              <w:bottom w:val="single" w:color="auto" w:sz="4" w:space="0"/>
              <w:right w:val="single" w:color="auto" w:sz="4" w:space="0"/>
            </w:tcBorders>
            <w:vAlign w:val="center"/>
          </w:tcPr>
          <w:p w14:paraId="2B4EF63F">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53" w:type="pct"/>
            <w:tcBorders>
              <w:top w:val="single" w:color="auto" w:sz="4" w:space="0"/>
              <w:left w:val="nil"/>
              <w:bottom w:val="single" w:color="auto" w:sz="4" w:space="0"/>
              <w:right w:val="single" w:color="auto" w:sz="4" w:space="0"/>
            </w:tcBorders>
            <w:vAlign w:val="center"/>
          </w:tcPr>
          <w:p w14:paraId="12E86FBD">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26" w:type="pct"/>
            <w:tcBorders>
              <w:top w:val="single" w:color="auto" w:sz="4" w:space="0"/>
              <w:left w:val="nil"/>
              <w:bottom w:val="single" w:color="auto" w:sz="4" w:space="0"/>
              <w:right w:val="single" w:color="auto" w:sz="4" w:space="0"/>
            </w:tcBorders>
            <w:vAlign w:val="center"/>
          </w:tcPr>
          <w:p w14:paraId="55BC45FA">
            <w:pPr>
              <w:jc w:val="center"/>
              <w:rPr>
                <w:rFonts w:ascii="仿宋" w:hAnsi="仿宋" w:eastAsia="仿宋" w:cs="Tahoma"/>
                <w:b/>
                <w:bCs/>
                <w:color w:val="000000"/>
                <w:sz w:val="20"/>
                <w:szCs w:val="20"/>
              </w:rPr>
            </w:pPr>
            <w:r>
              <w:rPr>
                <w:rFonts w:hint="eastAsia" w:ascii="仿宋" w:hAnsi="仿宋" w:eastAsia="仿宋" w:cs="Tahoma"/>
                <w:b/>
                <w:bCs/>
                <w:color w:val="000000"/>
                <w:sz w:val="20"/>
                <w:szCs w:val="20"/>
                <w:lang w:val="en-US" w:eastAsia="zh-CN"/>
              </w:rPr>
              <w:t>含税</w:t>
            </w:r>
            <w:r>
              <w:rPr>
                <w:rFonts w:hint="eastAsia" w:ascii="仿宋" w:hAnsi="仿宋" w:eastAsia="仿宋" w:cs="Tahoma"/>
                <w:b/>
                <w:bCs/>
                <w:color w:val="000000"/>
                <w:sz w:val="20"/>
                <w:szCs w:val="20"/>
              </w:rPr>
              <w:t>单价（元）</w:t>
            </w:r>
          </w:p>
        </w:tc>
        <w:tc>
          <w:tcPr>
            <w:tcW w:w="462" w:type="pct"/>
            <w:tcBorders>
              <w:top w:val="single" w:color="auto" w:sz="4" w:space="0"/>
              <w:left w:val="nil"/>
              <w:bottom w:val="single" w:color="auto" w:sz="4" w:space="0"/>
              <w:right w:val="single" w:color="auto" w:sz="4" w:space="0"/>
            </w:tcBorders>
            <w:vAlign w:val="center"/>
          </w:tcPr>
          <w:p w14:paraId="271F3F77">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496" w:type="pct"/>
            <w:tcBorders>
              <w:top w:val="single" w:color="auto" w:sz="4" w:space="0"/>
              <w:left w:val="nil"/>
              <w:bottom w:val="single" w:color="auto" w:sz="4" w:space="0"/>
              <w:right w:val="single" w:color="auto" w:sz="4" w:space="0"/>
            </w:tcBorders>
            <w:vAlign w:val="center"/>
          </w:tcPr>
          <w:p w14:paraId="21006CA2">
            <w:pPr>
              <w:jc w:val="center"/>
              <w:rPr>
                <w:rFonts w:ascii="仿宋" w:hAnsi="仿宋" w:eastAsia="仿宋" w:cs="Tahoma"/>
                <w:b/>
                <w:bCs/>
                <w:color w:val="000000" w:themeColor="text1"/>
                <w:sz w:val="20"/>
                <w:szCs w:val="20"/>
                <w14:textFill>
                  <w14:solidFill>
                    <w14:schemeClr w14:val="tx1"/>
                  </w14:solidFill>
                </w14:textFill>
              </w:rPr>
            </w:pPr>
            <w:r>
              <w:rPr>
                <w:rFonts w:hint="eastAsia" w:ascii="仿宋" w:hAnsi="仿宋" w:eastAsia="仿宋" w:cs="Tahoma"/>
                <w:b/>
                <w:bCs/>
                <w:color w:val="000000" w:themeColor="text1"/>
                <w:sz w:val="20"/>
                <w:szCs w:val="20"/>
                <w14:textFill>
                  <w14:solidFill>
                    <w14:schemeClr w14:val="tx1"/>
                  </w14:solidFill>
                </w14:textFill>
              </w:rPr>
              <w:t>是否提供样品</w:t>
            </w:r>
          </w:p>
        </w:tc>
        <w:tc>
          <w:tcPr>
            <w:tcW w:w="492" w:type="pct"/>
            <w:tcBorders>
              <w:top w:val="single" w:color="auto" w:sz="4" w:space="0"/>
              <w:left w:val="single" w:color="auto" w:sz="4" w:space="0"/>
              <w:bottom w:val="single" w:color="auto" w:sz="4" w:space="0"/>
              <w:right w:val="single" w:color="auto" w:sz="4" w:space="0"/>
            </w:tcBorders>
            <w:vAlign w:val="center"/>
          </w:tcPr>
          <w:p w14:paraId="5D7EE7D8">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14:paraId="5A29CBAD">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7966B926">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65" w:type="pct"/>
            <w:tcBorders>
              <w:top w:val="nil"/>
              <w:left w:val="nil"/>
              <w:bottom w:val="single" w:color="auto" w:sz="4" w:space="0"/>
              <w:right w:val="single" w:color="auto" w:sz="4" w:space="0"/>
            </w:tcBorders>
            <w:shd w:val="clear" w:color="auto" w:fill="auto"/>
            <w:vAlign w:val="center"/>
          </w:tcPr>
          <w:p w14:paraId="259EF41B">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3B8060A9">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78720796">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15DA129F">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19667891">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0FEC13D2">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4EB01424">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5B7D25AF">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6C52BC53">
            <w:pPr>
              <w:jc w:val="center"/>
              <w:rPr>
                <w:rFonts w:ascii="仿宋" w:hAnsi="仿宋" w:eastAsia="仿宋" w:cs="Tahoma"/>
                <w:color w:val="000000"/>
                <w:sz w:val="20"/>
                <w:szCs w:val="20"/>
              </w:rPr>
            </w:pPr>
          </w:p>
        </w:tc>
      </w:tr>
      <w:tr w14:paraId="55EBF75F">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09E59D57">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65" w:type="pct"/>
            <w:tcBorders>
              <w:top w:val="nil"/>
              <w:left w:val="nil"/>
              <w:bottom w:val="single" w:color="auto" w:sz="4" w:space="0"/>
              <w:right w:val="single" w:color="auto" w:sz="4" w:space="0"/>
            </w:tcBorders>
            <w:shd w:val="clear" w:color="auto" w:fill="auto"/>
            <w:vAlign w:val="center"/>
          </w:tcPr>
          <w:p w14:paraId="6EB48F0E">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4847265D">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4BF52766">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0BC5F6BD">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0DB42AB0">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5F73EC58">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254A75E4">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7D161EB6">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4EF60BF3">
            <w:pPr>
              <w:jc w:val="center"/>
              <w:rPr>
                <w:rFonts w:ascii="仿宋" w:hAnsi="仿宋" w:eastAsia="仿宋" w:cs="Tahoma"/>
                <w:color w:val="000000"/>
                <w:sz w:val="20"/>
                <w:szCs w:val="20"/>
              </w:rPr>
            </w:pPr>
          </w:p>
        </w:tc>
      </w:tr>
      <w:tr w14:paraId="79DC0164">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7CFB0AEF">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65" w:type="pct"/>
            <w:tcBorders>
              <w:top w:val="nil"/>
              <w:left w:val="nil"/>
              <w:bottom w:val="single" w:color="auto" w:sz="4" w:space="0"/>
              <w:right w:val="single" w:color="auto" w:sz="4" w:space="0"/>
            </w:tcBorders>
            <w:shd w:val="clear" w:color="auto" w:fill="auto"/>
            <w:vAlign w:val="center"/>
          </w:tcPr>
          <w:p w14:paraId="1ECB3088">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20ED86DE">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38B00BF1">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0AAFE4B0">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2A456C9D">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31941FBC">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426E22BA">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46F5AB20">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1F552547">
            <w:pPr>
              <w:jc w:val="center"/>
              <w:rPr>
                <w:rFonts w:ascii="仿宋" w:hAnsi="仿宋" w:eastAsia="仿宋" w:cs="Tahoma"/>
                <w:color w:val="000000"/>
                <w:sz w:val="20"/>
                <w:szCs w:val="20"/>
              </w:rPr>
            </w:pPr>
          </w:p>
        </w:tc>
      </w:tr>
      <w:tr w14:paraId="7D695C87">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0AC5A67A">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65" w:type="pct"/>
            <w:tcBorders>
              <w:top w:val="nil"/>
              <w:left w:val="nil"/>
              <w:bottom w:val="single" w:color="auto" w:sz="4" w:space="0"/>
              <w:right w:val="single" w:color="auto" w:sz="4" w:space="0"/>
            </w:tcBorders>
            <w:shd w:val="clear" w:color="auto" w:fill="auto"/>
            <w:vAlign w:val="center"/>
          </w:tcPr>
          <w:p w14:paraId="5968D5C8">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51CAE8EC">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29661B7B">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7A5D15EF">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3A3A4B71">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538BFEDA">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0DF4D017">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13B271A6">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17A102D">
            <w:pPr>
              <w:jc w:val="center"/>
              <w:rPr>
                <w:rFonts w:ascii="仿宋" w:hAnsi="仿宋" w:eastAsia="仿宋" w:cs="Tahoma"/>
                <w:color w:val="000000"/>
                <w:sz w:val="20"/>
                <w:szCs w:val="20"/>
              </w:rPr>
            </w:pPr>
          </w:p>
        </w:tc>
      </w:tr>
      <w:tr w14:paraId="71FA4D36">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71409BEA">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65" w:type="pct"/>
            <w:tcBorders>
              <w:top w:val="nil"/>
              <w:left w:val="nil"/>
              <w:bottom w:val="single" w:color="auto" w:sz="4" w:space="0"/>
              <w:right w:val="single" w:color="auto" w:sz="4" w:space="0"/>
            </w:tcBorders>
            <w:shd w:val="clear" w:color="auto" w:fill="auto"/>
            <w:vAlign w:val="center"/>
          </w:tcPr>
          <w:p w14:paraId="5056B33F">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6ACA7B83">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4AF9A98B">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25F7863B">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009A7DEF">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551064F2">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0F3D9802">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42C89BCB">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5506C28C">
            <w:pPr>
              <w:jc w:val="center"/>
              <w:rPr>
                <w:rFonts w:ascii="仿宋" w:hAnsi="仿宋" w:eastAsia="仿宋" w:cs="Tahoma"/>
                <w:color w:val="000000"/>
                <w:sz w:val="20"/>
                <w:szCs w:val="20"/>
              </w:rPr>
            </w:pPr>
          </w:p>
        </w:tc>
      </w:tr>
      <w:tr w14:paraId="1703DCA3">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0CE3371C">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65" w:type="pct"/>
            <w:tcBorders>
              <w:top w:val="nil"/>
              <w:left w:val="nil"/>
              <w:bottom w:val="single" w:color="auto" w:sz="4" w:space="0"/>
              <w:right w:val="single" w:color="auto" w:sz="4" w:space="0"/>
            </w:tcBorders>
            <w:shd w:val="clear" w:color="auto" w:fill="auto"/>
            <w:vAlign w:val="center"/>
          </w:tcPr>
          <w:p w14:paraId="6C29CBFB">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2F7CB663">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234FCFC3">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2B7F78A5">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72DC0333">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4748A65A">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58DAB1FF">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1087850D">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69A028FB">
            <w:pPr>
              <w:jc w:val="center"/>
              <w:rPr>
                <w:rFonts w:ascii="仿宋" w:hAnsi="仿宋" w:eastAsia="仿宋" w:cs="Tahoma"/>
                <w:color w:val="000000"/>
                <w:sz w:val="20"/>
                <w:szCs w:val="20"/>
              </w:rPr>
            </w:pPr>
          </w:p>
        </w:tc>
      </w:tr>
      <w:tr w14:paraId="2AC62F4F">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3190B432">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65" w:type="pct"/>
            <w:tcBorders>
              <w:top w:val="nil"/>
              <w:left w:val="nil"/>
              <w:bottom w:val="single" w:color="auto" w:sz="4" w:space="0"/>
              <w:right w:val="single" w:color="auto" w:sz="4" w:space="0"/>
            </w:tcBorders>
            <w:shd w:val="clear" w:color="auto" w:fill="auto"/>
            <w:vAlign w:val="center"/>
          </w:tcPr>
          <w:p w14:paraId="2C17CAF1">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04F940FE">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3D40B1C4">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6C0A9967">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7F054D2D">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4D54E610">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4815DE80">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097C1447">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08762083">
            <w:pPr>
              <w:jc w:val="center"/>
              <w:rPr>
                <w:rFonts w:ascii="仿宋" w:hAnsi="仿宋" w:eastAsia="仿宋" w:cs="Tahoma"/>
                <w:color w:val="000000"/>
                <w:sz w:val="20"/>
                <w:szCs w:val="20"/>
              </w:rPr>
            </w:pPr>
          </w:p>
        </w:tc>
      </w:tr>
      <w:tr w14:paraId="01C07F0D">
        <w:tblPrEx>
          <w:tblCellMar>
            <w:top w:w="0" w:type="dxa"/>
            <w:left w:w="108" w:type="dxa"/>
            <w:bottom w:w="0" w:type="dxa"/>
            <w:right w:w="108" w:type="dxa"/>
          </w:tblCellMar>
        </w:tblPrEx>
        <w:trPr>
          <w:trHeight w:val="794" w:hRule="atLeast"/>
        </w:trPr>
        <w:tc>
          <w:tcPr>
            <w:tcW w:w="341" w:type="pct"/>
            <w:tcBorders>
              <w:top w:val="nil"/>
              <w:left w:val="single" w:color="auto" w:sz="4" w:space="0"/>
              <w:bottom w:val="single" w:color="auto" w:sz="4" w:space="0"/>
              <w:right w:val="single" w:color="auto" w:sz="4" w:space="0"/>
            </w:tcBorders>
            <w:shd w:val="clear" w:color="000000" w:fill="FFFFFF"/>
            <w:vAlign w:val="center"/>
          </w:tcPr>
          <w:p w14:paraId="2AFAC778">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65" w:type="pct"/>
            <w:tcBorders>
              <w:top w:val="nil"/>
              <w:left w:val="nil"/>
              <w:bottom w:val="single" w:color="auto" w:sz="4" w:space="0"/>
              <w:right w:val="single" w:color="auto" w:sz="4" w:space="0"/>
            </w:tcBorders>
            <w:shd w:val="clear" w:color="auto" w:fill="auto"/>
            <w:vAlign w:val="center"/>
          </w:tcPr>
          <w:p w14:paraId="30187748">
            <w:pPr>
              <w:jc w:val="center"/>
              <w:rPr>
                <w:rFonts w:ascii="仿宋" w:hAnsi="仿宋" w:eastAsia="仿宋" w:cs="Tahoma"/>
                <w:color w:val="000000"/>
                <w:sz w:val="20"/>
                <w:szCs w:val="20"/>
              </w:rPr>
            </w:pPr>
          </w:p>
        </w:tc>
        <w:tc>
          <w:tcPr>
            <w:tcW w:w="737" w:type="pct"/>
            <w:tcBorders>
              <w:top w:val="nil"/>
              <w:left w:val="nil"/>
              <w:bottom w:val="single" w:color="auto" w:sz="4" w:space="0"/>
              <w:right w:val="single" w:color="auto" w:sz="4" w:space="0"/>
            </w:tcBorders>
            <w:shd w:val="clear" w:color="000000" w:fill="FFFFFF"/>
            <w:vAlign w:val="center"/>
          </w:tcPr>
          <w:p w14:paraId="085EDCB7">
            <w:pPr>
              <w:rPr>
                <w:rFonts w:ascii="仿宋" w:hAnsi="仿宋" w:eastAsia="仿宋" w:cs="Tahoma"/>
                <w:color w:val="000000"/>
                <w:sz w:val="20"/>
                <w:szCs w:val="20"/>
              </w:rPr>
            </w:pPr>
          </w:p>
        </w:tc>
        <w:tc>
          <w:tcPr>
            <w:tcW w:w="768" w:type="pct"/>
            <w:tcBorders>
              <w:top w:val="nil"/>
              <w:left w:val="nil"/>
              <w:bottom w:val="single" w:color="auto" w:sz="4" w:space="0"/>
              <w:right w:val="single" w:color="auto" w:sz="4" w:space="0"/>
            </w:tcBorders>
            <w:shd w:val="clear" w:color="000000" w:fill="FFFFFF"/>
            <w:vAlign w:val="center"/>
          </w:tcPr>
          <w:p w14:paraId="0B0B9746">
            <w:pPr>
              <w:rPr>
                <w:rFonts w:ascii="仿宋" w:hAnsi="仿宋" w:eastAsia="仿宋" w:cs="Tahoma"/>
                <w:color w:val="000000"/>
                <w:sz w:val="20"/>
                <w:szCs w:val="20"/>
              </w:rPr>
            </w:pPr>
          </w:p>
        </w:tc>
        <w:tc>
          <w:tcPr>
            <w:tcW w:w="355" w:type="pct"/>
            <w:tcBorders>
              <w:top w:val="nil"/>
              <w:left w:val="nil"/>
              <w:bottom w:val="single" w:color="auto" w:sz="4" w:space="0"/>
              <w:right w:val="single" w:color="auto" w:sz="4" w:space="0"/>
            </w:tcBorders>
            <w:vAlign w:val="center"/>
          </w:tcPr>
          <w:p w14:paraId="62DE3B8A">
            <w:pPr>
              <w:jc w:val="center"/>
              <w:rPr>
                <w:rFonts w:ascii="仿宋" w:hAnsi="仿宋" w:eastAsia="仿宋" w:cs="Tahoma"/>
                <w:color w:val="000000"/>
                <w:sz w:val="20"/>
                <w:szCs w:val="20"/>
              </w:rPr>
            </w:pPr>
          </w:p>
        </w:tc>
        <w:tc>
          <w:tcPr>
            <w:tcW w:w="353" w:type="pct"/>
            <w:tcBorders>
              <w:top w:val="nil"/>
              <w:left w:val="nil"/>
              <w:bottom w:val="single" w:color="auto" w:sz="4" w:space="0"/>
              <w:right w:val="single" w:color="auto" w:sz="4" w:space="0"/>
            </w:tcBorders>
            <w:vAlign w:val="center"/>
          </w:tcPr>
          <w:p w14:paraId="70E0A3C7">
            <w:pPr>
              <w:jc w:val="center"/>
              <w:rPr>
                <w:rFonts w:ascii="仿宋" w:hAnsi="仿宋" w:eastAsia="仿宋" w:cs="Tahoma"/>
                <w:color w:val="000000"/>
                <w:sz w:val="20"/>
                <w:szCs w:val="20"/>
              </w:rPr>
            </w:pPr>
          </w:p>
        </w:tc>
        <w:tc>
          <w:tcPr>
            <w:tcW w:w="426" w:type="pct"/>
            <w:tcBorders>
              <w:top w:val="nil"/>
              <w:left w:val="nil"/>
              <w:bottom w:val="single" w:color="auto" w:sz="4" w:space="0"/>
              <w:right w:val="single" w:color="auto" w:sz="4" w:space="0"/>
            </w:tcBorders>
            <w:vAlign w:val="center"/>
          </w:tcPr>
          <w:p w14:paraId="0A09A03E">
            <w:pPr>
              <w:jc w:val="center"/>
              <w:rPr>
                <w:rFonts w:ascii="仿宋" w:hAnsi="仿宋" w:eastAsia="仿宋" w:cs="Tahoma"/>
                <w:color w:val="000000"/>
                <w:sz w:val="20"/>
                <w:szCs w:val="20"/>
              </w:rPr>
            </w:pPr>
          </w:p>
        </w:tc>
        <w:tc>
          <w:tcPr>
            <w:tcW w:w="462" w:type="pct"/>
            <w:tcBorders>
              <w:top w:val="nil"/>
              <w:left w:val="nil"/>
              <w:bottom w:val="single" w:color="auto" w:sz="4" w:space="0"/>
              <w:right w:val="single" w:color="auto" w:sz="4" w:space="0"/>
            </w:tcBorders>
            <w:vAlign w:val="center"/>
          </w:tcPr>
          <w:p w14:paraId="5F19F7C9">
            <w:pPr>
              <w:jc w:val="center"/>
              <w:rPr>
                <w:rFonts w:ascii="仿宋" w:hAnsi="仿宋" w:eastAsia="仿宋" w:cs="Tahoma"/>
                <w:color w:val="000000"/>
                <w:sz w:val="20"/>
                <w:szCs w:val="20"/>
              </w:rPr>
            </w:pPr>
          </w:p>
        </w:tc>
        <w:tc>
          <w:tcPr>
            <w:tcW w:w="496" w:type="pct"/>
            <w:tcBorders>
              <w:top w:val="single" w:color="auto" w:sz="4" w:space="0"/>
              <w:left w:val="nil"/>
              <w:bottom w:val="single" w:color="auto" w:sz="4" w:space="0"/>
              <w:right w:val="single" w:color="auto" w:sz="4" w:space="0"/>
            </w:tcBorders>
            <w:vAlign w:val="center"/>
          </w:tcPr>
          <w:p w14:paraId="4B9BEED9">
            <w:pPr>
              <w:jc w:val="center"/>
              <w:rPr>
                <w:rFonts w:ascii="仿宋" w:hAnsi="仿宋" w:eastAsia="仿宋" w:cs="Tahoma"/>
                <w:color w:val="000000" w:themeColor="text1"/>
                <w:sz w:val="20"/>
                <w:szCs w:val="20"/>
                <w14:textFill>
                  <w14:solidFill>
                    <w14:schemeClr w14:val="tx1"/>
                  </w14:solidFill>
                </w14:textFill>
              </w:rPr>
            </w:pPr>
            <w:r>
              <w:rPr>
                <w:rFonts w:hint="eastAsia" w:ascii="仿宋" w:hAnsi="仿宋" w:eastAsia="仿宋" w:cs="Tahoma"/>
                <w:color w:val="000000" w:themeColor="text1"/>
                <w:sz w:val="20"/>
                <w:szCs w:val="20"/>
                <w14:textFill>
                  <w14:solidFill>
                    <w14:schemeClr w14:val="tx1"/>
                  </w14:solidFill>
                </w14:textFill>
              </w:rPr>
              <w:t>是/否</w:t>
            </w:r>
          </w:p>
        </w:tc>
        <w:tc>
          <w:tcPr>
            <w:tcW w:w="492" w:type="pct"/>
            <w:tcBorders>
              <w:top w:val="single" w:color="auto" w:sz="4" w:space="0"/>
              <w:left w:val="single" w:color="auto" w:sz="4" w:space="0"/>
              <w:bottom w:val="single" w:color="auto" w:sz="4" w:space="0"/>
              <w:right w:val="single" w:color="auto" w:sz="4" w:space="0"/>
            </w:tcBorders>
            <w:vAlign w:val="center"/>
          </w:tcPr>
          <w:p w14:paraId="44FEEE35">
            <w:pPr>
              <w:jc w:val="center"/>
              <w:rPr>
                <w:rFonts w:ascii="仿宋" w:hAnsi="仿宋" w:eastAsia="仿宋" w:cs="Tahoma"/>
                <w:color w:val="000000"/>
                <w:sz w:val="20"/>
                <w:szCs w:val="20"/>
              </w:rPr>
            </w:pPr>
          </w:p>
        </w:tc>
      </w:tr>
    </w:tbl>
    <w:p w14:paraId="38F7DCE0">
      <w:pPr>
        <w:spacing w:line="380" w:lineRule="exact"/>
        <w:ind w:left="147" w:leftChars="67"/>
        <w:rPr>
          <w:rFonts w:ascii="仿宋" w:hAnsi="仿宋" w:eastAsia="仿宋"/>
          <w:sz w:val="24"/>
          <w:szCs w:val="24"/>
        </w:rPr>
      </w:pPr>
    </w:p>
    <w:p w14:paraId="7FD85975">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w:t>
      </w:r>
      <w:r>
        <w:rPr>
          <w:rFonts w:hint="eastAsia" w:ascii="仿宋" w:hAnsi="仿宋" w:eastAsia="仿宋"/>
          <w:sz w:val="24"/>
          <w:szCs w:val="24"/>
          <w:lang w:eastAsia="zh-CN"/>
        </w:rPr>
        <w:t>，</w:t>
      </w:r>
      <w:r>
        <w:rPr>
          <w:rFonts w:ascii="仿宋" w:hAnsi="仿宋" w:eastAsia="仿宋"/>
          <w:sz w:val="24"/>
          <w:szCs w:val="24"/>
        </w:rPr>
        <w:t>以单价为准修正总价。</w:t>
      </w:r>
    </w:p>
    <w:p w14:paraId="114D09F9">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14:paraId="0AABB878">
      <w:pPr>
        <w:spacing w:after="0" w:line="300" w:lineRule="exact"/>
        <w:ind w:firstLine="480" w:firstLineChars="200"/>
        <w:rPr>
          <w:rFonts w:ascii="仿宋" w:hAnsi="仿宋" w:eastAsia="仿宋"/>
          <w:sz w:val="24"/>
          <w:szCs w:val="24"/>
          <w:lang w:val="zh-CN"/>
        </w:rPr>
      </w:pPr>
    </w:p>
    <w:p w14:paraId="7F8B531B">
      <w:pPr>
        <w:spacing w:line="380" w:lineRule="exact"/>
        <w:rPr>
          <w:rFonts w:ascii="仿宋" w:hAnsi="仿宋" w:eastAsia="仿宋"/>
          <w:sz w:val="24"/>
          <w:szCs w:val="24"/>
          <w:lang w:val="zh-CN"/>
        </w:rPr>
      </w:pPr>
    </w:p>
    <w:p w14:paraId="49B7E26F">
      <w:pPr>
        <w:spacing w:line="360" w:lineRule="auto"/>
        <w:ind w:right="960"/>
        <w:jc w:val="right"/>
        <w:rPr>
          <w:rFonts w:ascii="仿宋" w:hAnsi="仿宋" w:eastAsia="仿宋"/>
          <w:sz w:val="24"/>
          <w:szCs w:val="24"/>
          <w:lang w:val="zh-CN"/>
        </w:rPr>
      </w:pPr>
    </w:p>
    <w:p w14:paraId="593FC41A">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14:paraId="054EAA09">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251613839"/>
      <w:bookmarkStart w:id="115" w:name="_Toc266868943"/>
      <w:bookmarkStart w:id="116" w:name="_Toc266868679"/>
      <w:bookmarkStart w:id="117" w:name="_Toc259520874"/>
      <w:bookmarkStart w:id="118" w:name="_Toc169332954"/>
      <w:bookmarkStart w:id="119" w:name="_Toc191803631"/>
      <w:bookmarkStart w:id="120" w:name="_Toc258401265"/>
      <w:bookmarkStart w:id="121" w:name="_Toc180302918"/>
      <w:bookmarkStart w:id="122" w:name="_Toc259692749"/>
      <w:bookmarkStart w:id="123" w:name="_Toc219800249"/>
      <w:bookmarkStart w:id="124" w:name="_Toc259692656"/>
      <w:bookmarkStart w:id="125" w:name="_Toc182805222"/>
      <w:bookmarkStart w:id="126" w:name="_Toc181436466"/>
      <w:bookmarkStart w:id="127" w:name="_Toc235438281"/>
      <w:bookmarkStart w:id="128" w:name="_Toc182372787"/>
      <w:bookmarkStart w:id="129" w:name="_Toc213755945"/>
      <w:bookmarkStart w:id="130" w:name="_Toc213756057"/>
      <w:bookmarkStart w:id="131" w:name="_Toc192996343"/>
      <w:bookmarkStart w:id="132" w:name="_Toc267059544"/>
      <w:bookmarkStart w:id="133" w:name="_Toc191789334"/>
      <w:bookmarkStart w:id="134" w:name="_Toc192663691"/>
      <w:bookmarkStart w:id="135" w:name="_Toc169332843"/>
      <w:bookmarkStart w:id="136" w:name="_Toc193165739"/>
      <w:bookmarkStart w:id="137" w:name="_Toc254790909"/>
      <w:bookmarkStart w:id="138" w:name="_Toc223146614"/>
      <w:bookmarkStart w:id="139" w:name="_Toc235438352"/>
      <w:bookmarkStart w:id="140" w:name="_Toc193160453"/>
      <w:bookmarkStart w:id="141" w:name="_Toc235437998"/>
      <w:bookmarkStart w:id="142" w:name="_Toc227058536"/>
      <w:bookmarkStart w:id="143" w:name="_Toc266870441"/>
      <w:bookmarkStart w:id="144" w:name="_Toc211917121"/>
      <w:bookmarkStart w:id="145" w:name="_Toc191802695"/>
      <w:bookmarkStart w:id="146" w:name="_Toc267060076"/>
      <w:bookmarkStart w:id="147" w:name="_Toc160880534"/>
      <w:bookmarkStart w:id="148" w:name="_Toc267059658"/>
      <w:bookmarkStart w:id="149" w:name="_Toc251586241"/>
      <w:bookmarkStart w:id="150" w:name="_Toc249325720"/>
      <w:bookmarkStart w:id="151" w:name="_Toc267059924"/>
      <w:bookmarkStart w:id="152" w:name="_Toc232302122"/>
      <w:bookmarkStart w:id="153" w:name="_Toc273178703"/>
      <w:bookmarkStart w:id="154" w:name="_Toc213756001"/>
      <w:bookmarkStart w:id="155" w:name="_Toc203355738"/>
      <w:bookmarkStart w:id="156" w:name="_Toc217891408"/>
      <w:bookmarkStart w:id="157" w:name="_Toc267059035"/>
      <w:bookmarkStart w:id="158" w:name="_Toc230071153"/>
      <w:bookmarkStart w:id="159" w:name="_Toc192663840"/>
      <w:bookmarkStart w:id="160" w:name="_Toc213755864"/>
      <w:bookmarkStart w:id="161" w:name="_Toc177985474"/>
      <w:bookmarkStart w:id="162" w:name="_Toc170798798"/>
      <w:bookmarkStart w:id="163" w:name="_Toc266870839"/>
      <w:bookmarkStart w:id="164" w:name="_Toc160880165"/>
      <w:bookmarkStart w:id="165" w:name="_Toc192996451"/>
      <w:bookmarkStart w:id="166" w:name="_Toc267060326"/>
      <w:bookmarkStart w:id="167" w:name="_Toc267060461"/>
      <w:bookmarkStart w:id="168" w:name="_Toc181436570"/>
      <w:bookmarkStart w:id="169" w:name="_Toc225669328"/>
      <w:bookmarkStart w:id="170" w:name="_Toc255975016"/>
      <w:bookmarkStart w:id="171" w:name="_Toc213208771"/>
      <w:bookmarkStart w:id="172" w:name="_Toc253066624"/>
      <w:bookmarkStart w:id="173" w:name="_Toc236021457"/>
      <w:bookmarkStart w:id="174" w:name="_Toc191783227"/>
      <w:bookmarkStart w:id="175" w:name="_Toc266870916"/>
      <w:bookmarkStart w:id="176" w:name="_Toc267060216"/>
      <w:bookmarkStart w:id="177" w:name="_Toc267059186"/>
      <w:bookmarkStart w:id="178" w:name="_Toc192664158"/>
      <w:bookmarkStart w:id="179" w:name="_Toc267059811"/>
    </w:p>
    <w:p w14:paraId="023B8DB6">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14:paraId="091B72B1">
      <w:pPr>
        <w:pStyle w:val="40"/>
        <w:rPr>
          <w:sz w:val="24"/>
          <w:szCs w:val="24"/>
        </w:rPr>
      </w:pPr>
    </w:p>
    <w:p w14:paraId="3C1B0BC1">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14:paraId="417CE04A">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14:paraId="3FF62572">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14:paraId="5D74F0CF">
      <w:pPr>
        <w:pStyle w:val="55"/>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14:paraId="3F9D5CC1">
      <w:pPr>
        <w:spacing w:line="380" w:lineRule="exact"/>
        <w:rPr>
          <w:rFonts w:ascii="仿宋" w:hAnsi="仿宋" w:eastAsia="仿宋"/>
          <w:sz w:val="24"/>
          <w:szCs w:val="24"/>
        </w:rPr>
      </w:pPr>
    </w:p>
    <w:p w14:paraId="5D0791B0">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14:paraId="19120CC3">
      <w:pPr>
        <w:spacing w:line="380" w:lineRule="exact"/>
        <w:rPr>
          <w:rFonts w:ascii="仿宋" w:hAnsi="仿宋" w:eastAsia="仿宋"/>
          <w:sz w:val="24"/>
          <w:szCs w:val="24"/>
        </w:rPr>
      </w:pPr>
    </w:p>
    <w:p w14:paraId="51F2BCA2">
      <w:pPr>
        <w:spacing w:line="380" w:lineRule="exact"/>
        <w:rPr>
          <w:rFonts w:ascii="仿宋" w:hAnsi="仿宋" w:eastAsia="仿宋"/>
          <w:sz w:val="24"/>
          <w:szCs w:val="24"/>
        </w:rPr>
      </w:pPr>
    </w:p>
    <w:p w14:paraId="0DE232BC">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14:paraId="32993306">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14:paraId="1B963EEA">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A291">
    <w:pPr>
      <w:pStyle w:val="17"/>
    </w:pPr>
    <w:r>
      <w:drawing>
        <wp:inline distT="0" distB="0" distL="0" distR="0">
          <wp:extent cx="3379470" cy="505460"/>
          <wp:effectExtent l="0" t="0" r="0"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9470" cy="50546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E4A0">
    <w:pPr>
      <w:pStyle w:val="17"/>
    </w:pPr>
    <w:r>
      <w:drawing>
        <wp:inline distT="0" distB="0" distL="0" distR="0">
          <wp:extent cx="3379470" cy="505460"/>
          <wp:effectExtent l="0" t="0" r="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9470" cy="50546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C3C3E">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A45F">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CDF9">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83EC3">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YThjY2Q1OTQ4YzcxZjk3NzRlNTA2MDIzY2UyMGEifQ=="/>
    <w:docVar w:name="KSO_WPS_MARK_KEY" w:val="4cfd3d8f-8e5a-4c80-bdc4-f4390aab0d7a"/>
  </w:docVars>
  <w:rsids>
    <w:rsidRoot w:val="007B0F09"/>
    <w:rsid w:val="0000490C"/>
    <w:rsid w:val="00013721"/>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07D2E"/>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27F8"/>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9123D7"/>
    <w:rsid w:val="00916532"/>
    <w:rsid w:val="00923C7E"/>
    <w:rsid w:val="00936704"/>
    <w:rsid w:val="0094170D"/>
    <w:rsid w:val="00942F72"/>
    <w:rsid w:val="00955004"/>
    <w:rsid w:val="009606BC"/>
    <w:rsid w:val="00967E57"/>
    <w:rsid w:val="00994E59"/>
    <w:rsid w:val="009B7DAD"/>
    <w:rsid w:val="009D6C32"/>
    <w:rsid w:val="009F0B36"/>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CB73CD"/>
    <w:rsid w:val="00D2102C"/>
    <w:rsid w:val="00D260D0"/>
    <w:rsid w:val="00D36D52"/>
    <w:rsid w:val="00D56DEA"/>
    <w:rsid w:val="00D60F0E"/>
    <w:rsid w:val="00E11567"/>
    <w:rsid w:val="00E3310A"/>
    <w:rsid w:val="00E33B9E"/>
    <w:rsid w:val="00E33C1C"/>
    <w:rsid w:val="00E34C27"/>
    <w:rsid w:val="00E4054E"/>
    <w:rsid w:val="00E47041"/>
    <w:rsid w:val="00E77225"/>
    <w:rsid w:val="00E95973"/>
    <w:rsid w:val="00ED2437"/>
    <w:rsid w:val="00EE3803"/>
    <w:rsid w:val="00EE616F"/>
    <w:rsid w:val="00F0149B"/>
    <w:rsid w:val="00F21640"/>
    <w:rsid w:val="00F8646A"/>
    <w:rsid w:val="00F876DE"/>
    <w:rsid w:val="00FB2CC4"/>
    <w:rsid w:val="00FF1750"/>
    <w:rsid w:val="00FF655F"/>
    <w:rsid w:val="098B6F7D"/>
    <w:rsid w:val="09ED4C49"/>
    <w:rsid w:val="13AC347F"/>
    <w:rsid w:val="17063ECA"/>
    <w:rsid w:val="19893B48"/>
    <w:rsid w:val="1E4F15D7"/>
    <w:rsid w:val="1FB222E2"/>
    <w:rsid w:val="2130749E"/>
    <w:rsid w:val="245C5FE8"/>
    <w:rsid w:val="25AD06D4"/>
    <w:rsid w:val="262B46D7"/>
    <w:rsid w:val="2B23372E"/>
    <w:rsid w:val="2B7A32F9"/>
    <w:rsid w:val="2E3A5DFF"/>
    <w:rsid w:val="307A6139"/>
    <w:rsid w:val="32EE540A"/>
    <w:rsid w:val="34C603ED"/>
    <w:rsid w:val="3A8D375B"/>
    <w:rsid w:val="3ACF3BC7"/>
    <w:rsid w:val="3E261146"/>
    <w:rsid w:val="4277488A"/>
    <w:rsid w:val="43014CE6"/>
    <w:rsid w:val="430F7403"/>
    <w:rsid w:val="45F621B4"/>
    <w:rsid w:val="49AC087F"/>
    <w:rsid w:val="4C2349A8"/>
    <w:rsid w:val="50DE21C3"/>
    <w:rsid w:val="50EE68AA"/>
    <w:rsid w:val="52120680"/>
    <w:rsid w:val="60EB7E5E"/>
    <w:rsid w:val="63D709FA"/>
    <w:rsid w:val="682663AC"/>
    <w:rsid w:val="6D176D30"/>
    <w:rsid w:val="6EC72090"/>
    <w:rsid w:val="71811E0B"/>
    <w:rsid w:val="7247477F"/>
    <w:rsid w:val="73A86934"/>
    <w:rsid w:val="762B1157"/>
    <w:rsid w:val="79AB7803"/>
    <w:rsid w:val="7A92514B"/>
    <w:rsid w:val="7C817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unhideWhenUsed/>
    <w:qFormat/>
    <w:uiPriority w:val="99"/>
    <w:rPr>
      <w:color w:val="F49100" w:themeColor="hyperlink"/>
      <w:u w:val="single"/>
      <w14:textFill>
        <w14:solidFill>
          <w14:schemeClr w14:val="hlink"/>
        </w14:solidFill>
      </w14:textFill>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2"/>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9</Pages>
  <Words>2862</Words>
  <Characters>3069</Characters>
  <Lines>22</Lines>
  <Paragraphs>6</Paragraphs>
  <TotalTime>138</TotalTime>
  <ScaleCrop>false</ScaleCrop>
  <LinksUpToDate>false</LinksUpToDate>
  <CharactersWithSpaces>3291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黄天纬</cp:lastModifiedBy>
  <dcterms:modified xsi:type="dcterms:W3CDTF">2024-08-05T13:01:50Z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A5FE481ED92648CB9FFD6FD4B525569F_12</vt:lpwstr>
  </property>
</Properties>
</file>