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pacing w:line="360" w:lineRule="auto"/>
        <w:jc w:val="center"/>
        <w:outlineLvl w:val="0"/>
        <w:rPr>
          <w:rFonts w:ascii="仿宋" w:hAnsi="仿宋" w:eastAsia="仿宋"/>
          <w:b/>
          <w:color w:val="auto"/>
          <w:sz w:val="44"/>
          <w:szCs w:val="44"/>
        </w:rPr>
      </w:pPr>
      <w:bookmarkStart w:id="0" w:name="_Toc267059899"/>
      <w:bookmarkStart w:id="1" w:name="_Toc259692693"/>
      <w:bookmarkStart w:id="2" w:name="_Toc267059010"/>
      <w:bookmarkStart w:id="3" w:name="_Toc266868924"/>
      <w:bookmarkStart w:id="4" w:name="_Toc251613780"/>
      <w:bookmarkStart w:id="5" w:name="_Toc225669277"/>
      <w:bookmarkStart w:id="6" w:name="_Toc267059161"/>
      <w:bookmarkStart w:id="7" w:name="_Toc207014580"/>
      <w:bookmarkStart w:id="8" w:name="_Toc236021402"/>
      <w:bookmarkStart w:id="9" w:name="_Toc212454753"/>
      <w:bookmarkStart w:id="10" w:name="_Toc255974963"/>
      <w:bookmarkStart w:id="11" w:name="_Toc273178686"/>
      <w:bookmarkStart w:id="12" w:name="_Toc267059786"/>
      <w:bookmarkStart w:id="13" w:name="_Toc212456146"/>
      <w:bookmarkStart w:id="14" w:name="_Toc169332904"/>
      <w:bookmarkStart w:id="15" w:name="_Toc212526081"/>
      <w:bookmarkStart w:id="16" w:name="_Toc267060022"/>
      <w:bookmarkStart w:id="17" w:name="_Toc253066567"/>
      <w:bookmarkStart w:id="18" w:name="_Toc267060407"/>
      <w:bookmarkStart w:id="19" w:name="_Toc217891359"/>
      <w:bookmarkStart w:id="20" w:name="_Toc267060162"/>
      <w:bookmarkStart w:id="21" w:name="_Toc254790852"/>
      <w:bookmarkStart w:id="22" w:name="_Toc212530253"/>
      <w:bookmarkStart w:id="23" w:name="_Toc258401210"/>
      <w:bookmarkStart w:id="24" w:name="_Toc235437942"/>
      <w:bookmarkStart w:id="25" w:name="_Toc216241307"/>
      <w:bookmarkStart w:id="26" w:name="_Toc160880487"/>
      <w:bookmarkStart w:id="27" w:name="_Toc259692600"/>
      <w:bookmarkStart w:id="28" w:name="_Toc177985424"/>
      <w:bookmarkStart w:id="29" w:name="_Toc266868624"/>
      <w:bookmarkStart w:id="30" w:name="_Toc251586187"/>
      <w:bookmarkStart w:id="31" w:name="_Toc211937196"/>
      <w:bookmarkStart w:id="32" w:name="_Toc267059519"/>
      <w:bookmarkStart w:id="33" w:name="_Toc227058483"/>
      <w:bookmarkStart w:id="34" w:name="_Toc219800200"/>
      <w:bookmarkStart w:id="35" w:name="_Toc235438297"/>
      <w:bookmarkStart w:id="36" w:name="_Toc249325665"/>
      <w:bookmarkStart w:id="37" w:name="_Toc259520819"/>
      <w:bookmarkStart w:id="38" w:name="_Toc170798743"/>
      <w:bookmarkStart w:id="39" w:name="_Toc223146565"/>
      <w:bookmarkStart w:id="40" w:name="_Toc266870861"/>
      <w:bookmarkStart w:id="41" w:name="_Toc169332794"/>
      <w:bookmarkStart w:id="42" w:name="_Toc266870386"/>
      <w:bookmarkStart w:id="43" w:name="_Toc267059633"/>
      <w:bookmarkStart w:id="44" w:name="_Toc235438227"/>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广州松田职业学院是一所经</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广东省人民政府</w:t>
      </w:r>
      <w:r>
        <w:rPr>
          <w:rFonts w:hint="eastAsia" w:ascii="仿宋" w:hAnsi="仿宋" w:eastAsia="仿宋"/>
          <w:color w:val="000000"/>
          <w:sz w:val="24"/>
          <w:szCs w:val="24"/>
        </w:rPr>
        <w:fldChar w:fldCharType="end"/>
      </w:r>
      <w:r>
        <w:rPr>
          <w:rFonts w:hint="eastAsia" w:ascii="仿宋" w:hAnsi="仿宋" w:eastAsia="仿宋"/>
          <w:color w:val="000000"/>
          <w:sz w:val="24"/>
          <w:szCs w:val="24"/>
        </w:rPr>
        <w:t>批准、</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教育部</w:t>
      </w:r>
      <w:r>
        <w:rPr>
          <w:rFonts w:hint="eastAsia" w:ascii="仿宋" w:hAnsi="仿宋" w:eastAsia="仿宋"/>
          <w:color w:val="000000"/>
          <w:sz w:val="24"/>
          <w:szCs w:val="24"/>
        </w:rPr>
        <w:fldChar w:fldCharType="end"/>
      </w:r>
      <w:r>
        <w:rPr>
          <w:rFonts w:hint="eastAsia" w:ascii="仿宋" w:hAnsi="仿宋" w:eastAsia="仿宋"/>
          <w:color w:val="000000"/>
          <w:sz w:val="24"/>
          <w:szCs w:val="24"/>
        </w:rPr>
        <w:t>备案的全日制普通高等职业学院，是中国教育集团（港股代码：00839）旗下的高校。根据需要，对</w:t>
      </w:r>
      <w:r>
        <w:rPr>
          <w:rFonts w:hint="eastAsia" w:ascii="仿宋" w:hAnsi="仿宋" w:eastAsia="仿宋"/>
          <w:color w:val="000000"/>
          <w:sz w:val="24"/>
          <w:szCs w:val="24"/>
          <w:lang w:val="en-US" w:eastAsia="zh-CN"/>
        </w:rPr>
        <w:t>本次项目</w:t>
      </w:r>
      <w:r>
        <w:rPr>
          <w:rFonts w:hint="eastAsia" w:ascii="仿宋" w:hAnsi="仿宋" w:eastAsia="仿宋"/>
          <w:color w:val="000000"/>
          <w:sz w:val="24"/>
          <w:szCs w:val="24"/>
        </w:rPr>
        <w:t>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B-XJ2022-18</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项目名称：广州松田职业学院教学质量管理平台采购项目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数量及主要技术要求:详见《公开询价项目介绍》。</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7"/>
        <w:numPr>
          <w:ilvl w:val="0"/>
          <w:numId w:val="2"/>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color w:val="auto"/>
          <w:sz w:val="24"/>
          <w:szCs w:val="24"/>
        </w:rPr>
        <w:t>或授权经销商。</w:t>
      </w:r>
    </w:p>
    <w:p>
      <w:pPr>
        <w:pStyle w:val="57"/>
        <w:numPr>
          <w:ilvl w:val="0"/>
          <w:numId w:val="2"/>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rPr>
        <w:t>参与人应具有合法有效的营业执照，经营范围应包括</w:t>
      </w:r>
      <w:r>
        <w:rPr>
          <w:rFonts w:hint="eastAsia" w:ascii="仿宋" w:hAnsi="仿宋" w:eastAsia="仿宋"/>
          <w:color w:val="auto"/>
          <w:sz w:val="24"/>
          <w:szCs w:val="24"/>
          <w:highlight w:val="none"/>
        </w:rPr>
        <w:t>教育咨询、数据处理及技术咨询</w:t>
      </w:r>
      <w:r>
        <w:rPr>
          <w:rFonts w:hint="eastAsia" w:ascii="仿宋" w:hAnsi="仿宋" w:eastAsia="仿宋"/>
          <w:color w:val="auto"/>
          <w:sz w:val="24"/>
          <w:szCs w:val="24"/>
          <w:highlight w:val="none"/>
          <w:lang w:val="en-US" w:eastAsia="zh-CN"/>
        </w:rPr>
        <w:t>等</w:t>
      </w:r>
      <w:r>
        <w:rPr>
          <w:rFonts w:hint="eastAsia" w:ascii="仿宋" w:hAnsi="仿宋" w:eastAsia="仿宋"/>
          <w:color w:val="auto"/>
          <w:sz w:val="24"/>
          <w:szCs w:val="24"/>
          <w:lang w:eastAsia="zh-CN"/>
        </w:rPr>
        <w:t>。</w:t>
      </w:r>
    </w:p>
    <w:p>
      <w:pPr>
        <w:pStyle w:val="57"/>
        <w:numPr>
          <w:ilvl w:val="0"/>
          <w:numId w:val="2"/>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rPr>
        <w:t>参与人应具</w:t>
      </w:r>
      <w:r>
        <w:rPr>
          <w:rFonts w:ascii="仿宋" w:hAnsi="仿宋" w:eastAsia="仿宋"/>
          <w:color w:val="auto"/>
          <w:sz w:val="24"/>
          <w:szCs w:val="24"/>
        </w:rPr>
        <w:t>有提</w:t>
      </w:r>
      <w:r>
        <w:rPr>
          <w:rFonts w:hint="eastAsia" w:ascii="仿宋" w:hAnsi="仿宋" w:eastAsia="仿宋"/>
          <w:color w:val="auto"/>
          <w:sz w:val="24"/>
          <w:szCs w:val="24"/>
        </w:rPr>
        <w:t>供</w:t>
      </w:r>
      <w:r>
        <w:rPr>
          <w:rFonts w:hint="eastAsia" w:ascii="仿宋" w:hAnsi="仿宋" w:eastAsia="仿宋"/>
          <w:color w:val="auto"/>
          <w:sz w:val="24"/>
          <w:szCs w:val="24"/>
          <w:highlight w:val="none"/>
        </w:rPr>
        <w:t>教学质量管理平台</w:t>
      </w:r>
      <w:bookmarkStart w:id="179" w:name="_GoBack"/>
      <w:bookmarkEnd w:id="179"/>
      <w:r>
        <w:rPr>
          <w:rFonts w:hint="eastAsia" w:ascii="仿宋" w:hAnsi="仿宋" w:eastAsia="仿宋"/>
          <w:color w:val="auto"/>
          <w:sz w:val="24"/>
          <w:szCs w:val="24"/>
          <w:lang w:val="en-US" w:eastAsia="zh-CN"/>
        </w:rPr>
        <w:t>设备</w:t>
      </w:r>
      <w:r>
        <w:rPr>
          <w:rFonts w:ascii="仿宋" w:hAnsi="仿宋" w:eastAsia="仿宋"/>
          <w:color w:val="auto"/>
          <w:sz w:val="24"/>
          <w:szCs w:val="24"/>
        </w:rPr>
        <w:t>和服务的资格</w:t>
      </w:r>
      <w:r>
        <w:rPr>
          <w:rFonts w:hint="eastAsia" w:ascii="仿宋" w:hAnsi="仿宋" w:eastAsia="仿宋"/>
          <w:color w:val="auto"/>
          <w:sz w:val="24"/>
          <w:szCs w:val="24"/>
        </w:rPr>
        <w:t>及</w:t>
      </w:r>
      <w:r>
        <w:rPr>
          <w:rFonts w:ascii="仿宋" w:hAnsi="仿宋" w:eastAsia="仿宋"/>
          <w:color w:val="auto"/>
          <w:sz w:val="24"/>
          <w:szCs w:val="24"/>
        </w:rPr>
        <w:t>能力</w:t>
      </w:r>
      <w:r>
        <w:rPr>
          <w:rFonts w:hint="eastAsia" w:ascii="仿宋" w:hAnsi="仿宋" w:eastAsia="仿宋"/>
          <w:color w:val="auto"/>
          <w:sz w:val="24"/>
          <w:szCs w:val="24"/>
        </w:rPr>
        <w:t>，具备相应的维护保养能力。</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参与人应遵守中国的有关法律、法规和规章的规定。</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参与人具有</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年以上（包括</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个以上同类项目销售和良好的售后服务应用成功案例,近三年未发生重大安全或质量事故。</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参与人须有良好的商业信誉和健全的财务制度。</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参与人有依法缴纳税金和社会保障资金的良好记录。</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09</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26</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广州松田职业学院采购办公室。</w:t>
      </w:r>
    </w:p>
    <w:p>
      <w:pPr>
        <w:pStyle w:val="57"/>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9"/>
          <w:rFonts w:hint="eastAsia" w:ascii="仿宋" w:hAnsi="仿宋" w:eastAsia="仿宋"/>
          <w:color w:val="auto"/>
          <w:sz w:val="24"/>
          <w:szCs w:val="24"/>
        </w:rPr>
        <w:t>www.ceghqxz.com</w:t>
      </w:r>
      <w:r>
        <w:rPr>
          <w:rStyle w:val="29"/>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b/>
          <w:bCs/>
          <w:sz w:val="24"/>
          <w:szCs w:val="24"/>
        </w:rPr>
        <w:t>一个参与人只能提交一个报价响应文件，</w:t>
      </w:r>
      <w:r>
        <w:rPr>
          <w:rFonts w:hint="eastAsia" w:ascii="仿宋" w:hAnsi="仿宋" w:eastAsia="仿宋"/>
          <w:b/>
          <w:bCs/>
          <w:sz w:val="24"/>
          <w:szCs w:val="24"/>
          <w:lang w:val="en-US" w:eastAsia="zh-CN"/>
        </w:rPr>
        <w:t>报价须分</w:t>
      </w:r>
      <w:r>
        <w:rPr>
          <w:rFonts w:hint="eastAsia" w:ascii="仿宋" w:hAnsi="仿宋" w:eastAsia="仿宋"/>
          <w:b/>
          <w:bCs/>
          <w:sz w:val="24"/>
          <w:szCs w:val="24"/>
        </w:rPr>
        <w:t>商务部分以及技术部分</w:t>
      </w:r>
      <w:r>
        <w:rPr>
          <w:rFonts w:hint="eastAsia" w:ascii="仿宋" w:hAnsi="仿宋" w:eastAsia="仿宋"/>
          <w:b/>
          <w:bCs/>
          <w:sz w:val="24"/>
          <w:szCs w:val="24"/>
          <w:lang w:val="en-US" w:eastAsia="zh-CN"/>
        </w:rPr>
        <w:t>两个文件</w:t>
      </w:r>
      <w:r>
        <w:rPr>
          <w:rFonts w:hint="eastAsia" w:ascii="仿宋" w:hAnsi="仿宋" w:eastAsia="仿宋"/>
          <w:b/>
          <w:bCs/>
          <w:sz w:val="24"/>
          <w:szCs w:val="24"/>
        </w:rPr>
        <w:t>并且独立密封</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技术部分不体现价格</w:t>
      </w:r>
      <w:r>
        <w:rPr>
          <w:rFonts w:hint="eastAsia" w:ascii="仿宋" w:hAnsi="仿宋" w:eastAsia="仿宋"/>
          <w:b/>
          <w:bCs/>
          <w:sz w:val="24"/>
          <w:szCs w:val="24"/>
          <w:lang w:eastAsia="zh-CN"/>
        </w:rPr>
        <w:t>）</w:t>
      </w:r>
      <w:r>
        <w:rPr>
          <w:rFonts w:hint="eastAsia" w:ascii="仿宋" w:hAnsi="仿宋" w:eastAsia="仿宋"/>
          <w:b/>
          <w:bCs/>
          <w:sz w:val="24"/>
          <w:szCs w:val="24"/>
        </w:rPr>
        <w:t>，</w:t>
      </w:r>
      <w:r>
        <w:rPr>
          <w:rFonts w:hint="eastAsia" w:ascii="仿宋" w:hAnsi="仿宋" w:eastAsia="仿宋"/>
          <w:b/>
          <w:bCs/>
          <w:sz w:val="24"/>
          <w:szCs w:val="24"/>
          <w:lang w:val="en-US" w:eastAsia="zh-CN"/>
        </w:rPr>
        <w:t>商务及技术分别</w:t>
      </w:r>
      <w:r>
        <w:rPr>
          <w:rFonts w:hint="eastAsia" w:ascii="仿宋" w:hAnsi="仿宋" w:eastAsia="仿宋"/>
          <w:b/>
          <w:bCs/>
          <w:sz w:val="24"/>
          <w:szCs w:val="24"/>
        </w:rPr>
        <w:t>提供正本：一份，副本：二份，</w:t>
      </w:r>
      <w:r>
        <w:rPr>
          <w:rFonts w:hint="eastAsia" w:ascii="仿宋" w:hAnsi="仿宋" w:eastAsia="仿宋"/>
          <w:b/>
          <w:bCs/>
          <w:sz w:val="24"/>
          <w:szCs w:val="24"/>
          <w:lang w:val="en-US" w:eastAsia="zh-CN"/>
        </w:rPr>
        <w:t>共6份</w:t>
      </w:r>
      <w:r>
        <w:rPr>
          <w:rFonts w:hint="eastAsia" w:ascii="仿宋" w:hAnsi="仿宋" w:eastAsia="仿宋"/>
          <w:sz w:val="24"/>
          <w:szCs w:val="24"/>
          <w:lang w:val="en-US" w:eastAsia="zh-CN"/>
        </w:rPr>
        <w:t>，</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7"/>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sz w:val="24"/>
          <w:szCs w:val="24"/>
          <w:lang w:val="en-US" w:eastAsia="zh-CN"/>
        </w:rPr>
        <w:t>5</w:t>
      </w:r>
      <w:r>
        <w:rPr>
          <w:rFonts w:hint="eastAsia" w:ascii="仿宋" w:hAnsi="仿宋" w:eastAsia="仿宋" w:cstheme="minorBidi"/>
          <w:sz w:val="24"/>
          <w:szCs w:val="24"/>
          <w:lang w:val="en-US" w:eastAsia="zh-CN" w:bidi="ar-SA"/>
        </w:rPr>
        <w:t>年</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7"/>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7"/>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7"/>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7"/>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广州松田职业学院</w:t>
      </w:r>
    </w:p>
    <w:p>
      <w:pPr>
        <w:pStyle w:val="57"/>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09</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13</w:t>
      </w:r>
      <w:r>
        <w:rPr>
          <w:rFonts w:hint="eastAsia" w:ascii="仿宋" w:hAnsi="仿宋" w:eastAsia="仿宋"/>
          <w:color w:val="auto"/>
          <w:sz w:val="24"/>
          <w:szCs w:val="24"/>
        </w:rPr>
        <w:t>日</w:t>
      </w:r>
    </w:p>
    <w:p>
      <w:pPr>
        <w:pStyle w:val="57"/>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bookmarkEnd w:id="45"/>
      <w:r>
        <w:rPr>
          <w:rFonts w:hint="eastAsia" w:ascii="仿宋" w:hAnsi="仿宋" w:eastAsia="仿宋"/>
          <w:b/>
          <w:color w:val="auto"/>
          <w:sz w:val="44"/>
          <w:szCs w:val="44"/>
        </w:rPr>
        <w:t>公开询价项目介绍</w:t>
      </w:r>
    </w:p>
    <w:tbl>
      <w:tblPr>
        <w:tblStyle w:val="25"/>
        <w:tblW w:w="9808" w:type="dxa"/>
        <w:tblInd w:w="113" w:type="dxa"/>
        <w:tblLayout w:type="fixed"/>
        <w:tblCellMar>
          <w:top w:w="0" w:type="dxa"/>
          <w:left w:w="108" w:type="dxa"/>
          <w:bottom w:w="0" w:type="dxa"/>
          <w:right w:w="108" w:type="dxa"/>
        </w:tblCellMar>
      </w:tblPr>
      <w:tblGrid>
        <w:gridCol w:w="846"/>
        <w:gridCol w:w="1282"/>
        <w:gridCol w:w="7680"/>
      </w:tblGrid>
      <w:tr>
        <w:tblPrEx>
          <w:tblCellMar>
            <w:top w:w="0" w:type="dxa"/>
            <w:left w:w="108" w:type="dxa"/>
            <w:bottom w:w="0" w:type="dxa"/>
            <w:right w:w="108" w:type="dxa"/>
          </w:tblCellMar>
        </w:tblPrEx>
        <w:trPr>
          <w:trHeight w:val="397" w:hRule="atLeast"/>
        </w:trPr>
        <w:tc>
          <w:tcPr>
            <w:tcW w:w="846" w:type="dxa"/>
            <w:tcBorders>
              <w:top w:val="single" w:color="auto" w:sz="4" w:space="0"/>
              <w:left w:val="single" w:color="auto" w:sz="4" w:space="0"/>
              <w:bottom w:val="single" w:color="auto" w:sz="4" w:space="0"/>
              <w:right w:val="single" w:color="auto" w:sz="4" w:space="0"/>
            </w:tcBorders>
            <w:shd w:val="clear" w:color="000000" w:fill="FFF2CC"/>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一级指标</w:t>
            </w:r>
          </w:p>
        </w:tc>
        <w:tc>
          <w:tcPr>
            <w:tcW w:w="1282" w:type="dxa"/>
            <w:tcBorders>
              <w:top w:val="single" w:color="auto" w:sz="4" w:space="0"/>
              <w:left w:val="nil"/>
              <w:bottom w:val="single" w:color="auto" w:sz="4" w:space="0"/>
              <w:right w:val="single" w:color="auto" w:sz="4" w:space="0"/>
            </w:tcBorders>
            <w:shd w:val="clear" w:color="000000" w:fill="FFF2CC"/>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二级指标</w:t>
            </w:r>
          </w:p>
        </w:tc>
        <w:tc>
          <w:tcPr>
            <w:tcW w:w="7680" w:type="dxa"/>
            <w:tcBorders>
              <w:top w:val="single" w:color="auto" w:sz="4" w:space="0"/>
              <w:left w:val="nil"/>
              <w:bottom w:val="single" w:color="auto" w:sz="4" w:space="0"/>
              <w:right w:val="single" w:color="auto" w:sz="4" w:space="0"/>
            </w:tcBorders>
            <w:shd w:val="clear" w:color="000000" w:fill="FFF2CC"/>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指标说明</w:t>
            </w:r>
          </w:p>
        </w:tc>
      </w:tr>
      <w:tr>
        <w:tblPrEx>
          <w:tblCellMar>
            <w:top w:w="0" w:type="dxa"/>
            <w:left w:w="108" w:type="dxa"/>
            <w:bottom w:w="0" w:type="dxa"/>
            <w:right w:w="108" w:type="dxa"/>
          </w:tblCellMar>
        </w:tblPrEx>
        <w:trPr>
          <w:trHeight w:val="1281"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多维评价</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学生评价</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1、授课教师可以开展随堂即时性评课；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2、校级/院系管理员可以开展阶段性评课；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3、校级/院系管理员可以开展期末结果性评课；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4、支持针对不同类型的课程使用不同的评价指标问卷；</w:t>
            </w:r>
          </w:p>
        </w:tc>
      </w:tr>
      <w:tr>
        <w:tblPrEx>
          <w:tblCellMar>
            <w:top w:w="0" w:type="dxa"/>
            <w:left w:w="108" w:type="dxa"/>
            <w:bottom w:w="0" w:type="dxa"/>
            <w:right w:w="108" w:type="dxa"/>
          </w:tblCellMar>
        </w:tblPrEx>
        <w:trPr>
          <w:trHeight w:val="891"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督导评价</w:t>
            </w:r>
          </w:p>
        </w:tc>
        <w:tc>
          <w:tcPr>
            <w:tcW w:w="76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1、支持针对不同类型的课程使用不同的评价指标问卷；</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2、能为督导/领导设置听课任务数，能实时查看督导的听课完成进展；</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3、能灵活设置督导的听课范围；</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4、能将学生评价后列教师、新进教师、兼职教师、长期未被听课教师指派给督导/领导重点听课；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5、能精准指派课程并附上推荐理由给督导/领导重点听课；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6、督导/领导能暂存评价结果，能对已经完成的评价进行修改；</w:t>
            </w:r>
          </w:p>
        </w:tc>
      </w:tr>
      <w:tr>
        <w:tblPrEx>
          <w:tblCellMar>
            <w:top w:w="0" w:type="dxa"/>
            <w:left w:w="108" w:type="dxa"/>
            <w:bottom w:w="0" w:type="dxa"/>
            <w:right w:w="108" w:type="dxa"/>
          </w:tblCellMar>
        </w:tblPrEx>
        <w:trPr>
          <w:trHeight w:val="868"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领导评价</w:t>
            </w:r>
          </w:p>
        </w:tc>
        <w:tc>
          <w:tcPr>
            <w:tcW w:w="76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1401"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同行评价</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1、评价方式灵活，能支持同院系内、同教研室内、同授课教师间听评课；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2、评价形式多样，既能精准指定互评教师、也可以由系统随机分配，也可以让教师自由选择；</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3、能自主创建教研室，添加教研室内教师；</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4、能指定教研室的负责人，由教研室负责人开展评价；</w:t>
            </w:r>
          </w:p>
        </w:tc>
      </w:tr>
      <w:tr>
        <w:tblPrEx>
          <w:tblCellMar>
            <w:top w:w="0" w:type="dxa"/>
            <w:left w:w="108" w:type="dxa"/>
            <w:bottom w:w="0" w:type="dxa"/>
            <w:right w:w="108" w:type="dxa"/>
          </w:tblCellMar>
        </w:tblPrEx>
        <w:trPr>
          <w:trHeight w:val="891"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教师自评</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校级/院系管理员可以对自己管辖范围内的教师开展教师自评工作。</w:t>
            </w:r>
          </w:p>
        </w:tc>
      </w:tr>
      <w:tr>
        <w:tblPrEx>
          <w:tblCellMar>
            <w:top w:w="0" w:type="dxa"/>
            <w:left w:w="108" w:type="dxa"/>
            <w:bottom w:w="0" w:type="dxa"/>
            <w:right w:w="108" w:type="dxa"/>
          </w:tblCellMar>
        </w:tblPrEx>
        <w:trPr>
          <w:trHeight w:val="898"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教师评学</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校级/院系管理员可以对自己管辖范围内的教师开展教师评学工作，教师可评价自己的教学班。</w:t>
            </w:r>
          </w:p>
        </w:tc>
      </w:tr>
      <w:tr>
        <w:tblPrEx>
          <w:tblCellMar>
            <w:top w:w="0" w:type="dxa"/>
            <w:left w:w="108" w:type="dxa"/>
            <w:bottom w:w="0" w:type="dxa"/>
            <w:right w:w="108" w:type="dxa"/>
          </w:tblCellMar>
        </w:tblPrEx>
        <w:trPr>
          <w:trHeight w:val="1026"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除了评课评教外，平台还支持针对学生、教师开展各类评价；支持按照院系、专业、年级、课程、班级等条件筛选需要参与评价的教师或学生。</w:t>
            </w:r>
          </w:p>
        </w:tc>
      </w:tr>
      <w:tr>
        <w:tblPrEx>
          <w:tblCellMar>
            <w:top w:w="0" w:type="dxa"/>
            <w:left w:w="108" w:type="dxa"/>
            <w:bottom w:w="0" w:type="dxa"/>
            <w:right w:w="108" w:type="dxa"/>
          </w:tblCellMar>
        </w:tblPrEx>
        <w:trPr>
          <w:trHeight w:val="1356"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自由设计评价问卷</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供灵活的问卷设计功能，学校可以根据自身需求对关注的问题有针对性的设计问卷，可以自定义问卷内容、调研时间和人群。问卷可以定义单选题、多选题、填空题、评分题、开放题、附件上传题等多种类型。问题可设置计分题与不计分题以保证合理的分值分配。问题的选项也可以根据实际情况增减和设置权重。支持开展测验，可以编辑公式，设置正确答案，由系统自动批阅。</w:t>
            </w:r>
          </w:p>
        </w:tc>
      </w:tr>
      <w:tr>
        <w:tblPrEx>
          <w:tblCellMar>
            <w:top w:w="0" w:type="dxa"/>
            <w:left w:w="108" w:type="dxa"/>
            <w:bottom w:w="0" w:type="dxa"/>
            <w:right w:w="108" w:type="dxa"/>
          </w:tblCellMar>
        </w:tblPrEx>
        <w:trPr>
          <w:trHeight w:val="93"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问卷服务</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1、供应商应提供问卷设计服务，能针对我校的教学特点、使用期待设计有针对性的评教问卷；</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2、供应商应提供丰富的问卷模板供我们参考或引用，问卷应涵盖各个评价类型，包含分课程类型、学科类型的问卷，问卷数量要求不少于50套。</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3、供应商应提供丰富的评价指标库给我校老师们参考或引用，指标设计应贴近教师的使用需求，应包含教学内容、教学方法、教学态度、教学产出、教学环境等方面，指标数量要求不少于3000道。</w:t>
            </w:r>
          </w:p>
        </w:tc>
      </w:tr>
      <w:tr>
        <w:tblPrEx>
          <w:tblCellMar>
            <w:top w:w="0" w:type="dxa"/>
            <w:left w:w="108" w:type="dxa"/>
            <w:bottom w:w="0" w:type="dxa"/>
            <w:right w:w="108" w:type="dxa"/>
          </w:tblCellMar>
        </w:tblPrEx>
        <w:trPr>
          <w:trHeight w:val="128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学生日常反馈</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教学质量管理平台应提供学生向授课教师、院系教学管理员、学校教学管理员进行意见反馈，授课教师和教学管理员可对学生意见进行回复的功能。平台可定期提醒学生进行教学反馈，并且提醒授课教师及时查看学生反馈并回复。对学生留言进行基础的统计，方便学校教学管理员掌握学生反馈情况。</w:t>
            </w:r>
          </w:p>
        </w:tc>
      </w:tr>
      <w:tr>
        <w:tblPrEx>
          <w:tblCellMar>
            <w:top w:w="0" w:type="dxa"/>
            <w:left w:w="108" w:type="dxa"/>
            <w:bottom w:w="0" w:type="dxa"/>
            <w:right w:w="108" w:type="dxa"/>
          </w:tblCellMar>
        </w:tblPrEx>
        <w:trPr>
          <w:trHeight w:val="774"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教学分析</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1、供应商平台应具备领导驾驶舱功能，领导可通过首页驾驶舱直观掌握全校教学质量评价情况，并且可以通过驾驶舱逐级下钻，查看各院系教学质量、各院系前后列课程等分析结果。</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供应商平台应具备完善的数据统计功能，各级管理员和教师可以实时查看评价结果。数据统计粒度细致，可以查看评价详情，各个维度的得分统计，例如：院系得分统计、教师得分统计、课程得分统计等，各个维度的参评统计：院系参评统计、专业参评统计、班级参评统计等。</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供应商平台应提供“教学分析”模块，应对学校的不同应用场景，包含但不限于“院系考核”、“督导考核”、“教师考核”等，院系考核中能查看各院系教学质量得分、教学质量趋势、各院系各评价指标对比、以及前后列课程/教师；督导考核中能查看督导听课覆盖教师、课程情况、督导听课教学周分布、督导听课完成率；教师考核支持能自定义汇总查询多学期教师被评结果和排名，以及能自定义各类评价权重，统计教师综合得分和排名。</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供应商平台应具备数据报告功能，每学期能针对评教结果生成分析报告，能服务于院系和教师改进教学，要求能分别针对教师个人、开课院系、全校整体生成报告，教师个人报告应包含教师个人与全校教师和本院系教师的评价结果的对比，教师历年评价得分趋势、各个指标评价结果与同类课程的对比分析；学院数据报告应包含对学院课程和教师教学质量的分析，能与全校均值做对比，能预警问题教师或课程；学校数据报告应帮助学校掌握各院系教学质量、定位问题院系、课程和教师。</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5、能提供校外对比参照，能将评教结果与同类院校进行对比分析。</w:t>
            </w:r>
          </w:p>
        </w:tc>
      </w:tr>
      <w:tr>
        <w:tblPrEx>
          <w:tblCellMar>
            <w:top w:w="0" w:type="dxa"/>
            <w:left w:w="108" w:type="dxa"/>
            <w:bottom w:w="0" w:type="dxa"/>
            <w:right w:w="108" w:type="dxa"/>
          </w:tblCellMar>
        </w:tblPrEx>
        <w:trPr>
          <w:trHeight w:val="134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智能助教</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供应商平台需具备智能助教功能，授课教师可以完成从课上至课下的全过程管理，包括：课堂签到、课件分享、课堂提问、课堂测验、课后作业、课堂评价、学业预警等，在授课教师使用智能助教的过程中，平台能收集课堂教与学的行为数据，为学校的教学评价工作提供客观依据。</w:t>
            </w:r>
          </w:p>
        </w:tc>
      </w:tr>
      <w:tr>
        <w:tblPrEx>
          <w:tblCellMar>
            <w:top w:w="0" w:type="dxa"/>
            <w:left w:w="108" w:type="dxa"/>
            <w:bottom w:w="0" w:type="dxa"/>
            <w:right w:w="108" w:type="dxa"/>
          </w:tblCellMar>
        </w:tblPrEx>
        <w:trPr>
          <w:trHeight w:val="89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移动评教</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供应商平台除可通过电脑端进行调研、评价和查询结果外，还需要提供移动微信端评教，教师和学生均可以使用智能手机完成评价和查询结果等多项工作。</w:t>
            </w:r>
          </w:p>
        </w:tc>
      </w:tr>
      <w:tr>
        <w:tblPrEx>
          <w:tblCellMar>
            <w:top w:w="0" w:type="dxa"/>
            <w:left w:w="108" w:type="dxa"/>
            <w:bottom w:w="0" w:type="dxa"/>
            <w:right w:w="108" w:type="dxa"/>
          </w:tblCellMar>
        </w:tblPrEx>
        <w:trPr>
          <w:trHeight w:val="90" w:hRule="atLeast"/>
        </w:trPr>
        <w:tc>
          <w:tcPr>
            <w:tcW w:w="846"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安全要求</w:t>
            </w:r>
          </w:p>
          <w:p>
            <w:pPr>
              <w:snapToGrid w:val="0"/>
              <w:spacing w:after="0" w:line="240" w:lineRule="auto"/>
              <w:jc w:val="left"/>
              <w:rPr>
                <w:rFonts w:hint="eastAsia" w:ascii="仿宋" w:hAnsi="仿宋" w:eastAsia="仿宋" w:cs="仿宋"/>
                <w:color w:val="000000"/>
                <w:kern w:val="0"/>
                <w:sz w:val="24"/>
                <w:szCs w:val="24"/>
              </w:rPr>
            </w:pPr>
            <w:r>
              <w:rPr>
                <w:rFonts w:hint="eastAsia" w:ascii="仿宋" w:hAnsi="仿宋" w:eastAsia="仿宋" w:cs="仿宋"/>
                <w:color w:val="auto"/>
                <w:sz w:val="24"/>
                <w:szCs w:val="24"/>
              </w:rPr>
              <w:t>专利要求</w:t>
            </w:r>
          </w:p>
          <w:p>
            <w:pPr>
              <w:snapToGrid w:val="0"/>
              <w:spacing w:after="0" w:line="240" w:lineRule="auto"/>
              <w:jc w:val="left"/>
              <w:rPr>
                <w:rFonts w:hint="eastAsia" w:ascii="仿宋" w:hAnsi="仿宋" w:eastAsia="仿宋" w:cs="仿宋"/>
                <w:color w:val="000000"/>
                <w:kern w:val="0"/>
                <w:sz w:val="24"/>
                <w:szCs w:val="24"/>
              </w:rPr>
            </w:pPr>
            <w:r>
              <w:rPr>
                <w:rFonts w:hint="eastAsia" w:ascii="仿宋" w:hAnsi="仿宋" w:eastAsia="仿宋" w:cs="仿宋"/>
                <w:color w:val="auto"/>
                <w:sz w:val="24"/>
                <w:szCs w:val="24"/>
              </w:rPr>
              <w:t>经验要求</w:t>
            </w:r>
          </w:p>
        </w:tc>
        <w:tc>
          <w:tcPr>
            <w:tcW w:w="12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vMerge w:val="restart"/>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供应商平台应具备《信息系统安全等级保护备案证明》。</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质量管理体系认证证书、环境管理体系认证证书、职业健康安全管理体系认证证书、知识产权管理体系认证证书。</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供应商承诺能够保证数据的安全性并具备ISO27001信息安全管理体系认证证书</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供应商在项目过程中使用软件均需为正版办公软件</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供应商平台应具备与本项目相关的教学管理平台的计算机软件著作权登记证书</w:t>
            </w:r>
          </w:p>
        </w:tc>
      </w:tr>
      <w:tr>
        <w:tblPrEx>
          <w:tblCellMar>
            <w:top w:w="0" w:type="dxa"/>
            <w:left w:w="108" w:type="dxa"/>
            <w:bottom w:w="0" w:type="dxa"/>
            <w:right w:w="108" w:type="dxa"/>
          </w:tblCellMar>
        </w:tblPrEx>
        <w:trPr>
          <w:trHeight w:val="591" w:hRule="atLeast"/>
        </w:trPr>
        <w:tc>
          <w:tcPr>
            <w:tcW w:w="846" w:type="dxa"/>
            <w:vMerge w:val="continue"/>
            <w:tcBorders>
              <w:left w:val="single" w:color="auto" w:sz="4" w:space="0"/>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1282" w:type="dxa"/>
            <w:tcBorders>
              <w:top w:val="nil"/>
              <w:left w:val="nil"/>
              <w:bottom w:val="nil"/>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7680" w:type="dxa"/>
            <w:vMerge w:val="continue"/>
            <w:tcBorders>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91" w:hRule="atLeast"/>
        </w:trPr>
        <w:tc>
          <w:tcPr>
            <w:tcW w:w="846" w:type="dxa"/>
            <w:vMerge w:val="continue"/>
            <w:tcBorders>
              <w:left w:val="single" w:color="auto" w:sz="4" w:space="0"/>
              <w:bottom w:val="single" w:color="auto" w:sz="4" w:space="0"/>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7680"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r>
    </w:tbl>
    <w:p>
      <w:pPr>
        <w:spacing w:line="400" w:lineRule="exact"/>
        <w:rPr>
          <w:rFonts w:hint="eastAsia" w:ascii="仿宋" w:hAnsi="仿宋" w:eastAsia="仿宋" w:cs="仿宋"/>
          <w:sz w:val="24"/>
          <w:szCs w:val="24"/>
        </w:rPr>
      </w:pPr>
      <w:r>
        <w:rPr>
          <w:rFonts w:hint="eastAsia" w:ascii="仿宋" w:hAnsi="仿宋" w:eastAsia="仿宋" w:cs="仿宋"/>
          <w:sz w:val="24"/>
          <w:szCs w:val="24"/>
        </w:rPr>
        <w:t>注：项目执行过程中如因我校工作需求、项目升级等原因导致的功能调整，则以最终实际执行功能为准。</w:t>
      </w: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7" w:name="_Toc266870432"/>
      <w:bookmarkStart w:id="48" w:name="_Toc223146608"/>
      <w:bookmarkStart w:id="49" w:name="_Toc170798793"/>
      <w:bookmarkStart w:id="50" w:name="_Toc266870907"/>
      <w:bookmarkStart w:id="51" w:name="_Toc192996446"/>
      <w:bookmarkStart w:id="52" w:name="_Toc191802690"/>
      <w:bookmarkStart w:id="53" w:name="_Toc192996338"/>
      <w:bookmarkStart w:id="54" w:name="_Toc192663835"/>
      <w:bookmarkStart w:id="55" w:name="_Toc232302115"/>
      <w:bookmarkStart w:id="56" w:name="_Toc181436461"/>
      <w:bookmarkStart w:id="57" w:name="_Toc192663686"/>
      <w:bookmarkStart w:id="58" w:name="_Toc193165734"/>
      <w:bookmarkStart w:id="59" w:name="_Toc235438344"/>
      <w:bookmarkStart w:id="60" w:name="_Toc254790899"/>
      <w:bookmarkStart w:id="61" w:name="_Toc255975007"/>
      <w:bookmarkStart w:id="62" w:name="_Toc273178698"/>
      <w:bookmarkStart w:id="63" w:name="_Toc213755995"/>
      <w:bookmarkStart w:id="64" w:name="_Toc169332838"/>
      <w:bookmarkStart w:id="65" w:name="_Toc203355733"/>
      <w:bookmarkStart w:id="66" w:name="_Toc266870833"/>
      <w:bookmarkStart w:id="67" w:name="_Toc258401256"/>
      <w:bookmarkStart w:id="68" w:name="_Toc191803626"/>
      <w:bookmarkStart w:id="69" w:name="_Toc211917116"/>
      <w:bookmarkStart w:id="70" w:name="_Toc267059539"/>
      <w:bookmarkStart w:id="71" w:name="_Toc267059919"/>
      <w:bookmarkStart w:id="72" w:name="_Toc235437991"/>
      <w:bookmarkStart w:id="73" w:name="_Toc230071147"/>
      <w:bookmarkStart w:id="74" w:name="_Toc182372782"/>
      <w:bookmarkStart w:id="75" w:name="_Toc181436565"/>
      <w:bookmarkStart w:id="76" w:name="_Toc267059653"/>
      <w:bookmarkStart w:id="77" w:name="_Toc225669322"/>
      <w:bookmarkStart w:id="78" w:name="_Toc227058530"/>
      <w:bookmarkStart w:id="79" w:name="_Toc267060208"/>
      <w:bookmarkStart w:id="80" w:name="_Toc160880160"/>
      <w:bookmarkStart w:id="81" w:name="_Toc180302913"/>
      <w:bookmarkStart w:id="82" w:name="_Toc213755939"/>
      <w:bookmarkStart w:id="83" w:name="_Toc266868670"/>
      <w:bookmarkStart w:id="84" w:name="_Toc267059806"/>
      <w:bookmarkStart w:id="85" w:name="_Toc213756051"/>
      <w:bookmarkStart w:id="86" w:name="_Toc235438274"/>
      <w:bookmarkStart w:id="87" w:name="_Toc267059181"/>
      <w:bookmarkStart w:id="88" w:name="_Toc253066614"/>
      <w:bookmarkStart w:id="89" w:name="_Toc169332949"/>
      <w:bookmarkStart w:id="90" w:name="_Toc213208766"/>
      <w:bookmarkStart w:id="91" w:name="_Toc193160448"/>
      <w:bookmarkStart w:id="92" w:name="_Toc249325711"/>
      <w:bookmarkStart w:id="93" w:name="_Toc267060068"/>
      <w:bookmarkStart w:id="94" w:name="_Toc236021449"/>
      <w:bookmarkStart w:id="95" w:name="_Toc259520865"/>
      <w:bookmarkStart w:id="96" w:name="_Toc266868937"/>
      <w:bookmarkStart w:id="97" w:name="_Toc219800243"/>
      <w:bookmarkStart w:id="98" w:name="_Toc192664153"/>
      <w:bookmarkStart w:id="99" w:name="_Toc267060321"/>
      <w:bookmarkStart w:id="100" w:name="_Toc177985469"/>
      <w:bookmarkStart w:id="101" w:name="_Toc251586231"/>
      <w:bookmarkStart w:id="102" w:name="_Toc267059030"/>
      <w:bookmarkStart w:id="103" w:name="_Toc267060453"/>
      <w:bookmarkStart w:id="104" w:name="_Toc217891402"/>
      <w:bookmarkStart w:id="105" w:name="_Toc191789329"/>
      <w:bookmarkStart w:id="106" w:name="_Toc259692647"/>
      <w:bookmarkStart w:id="107" w:name="_Toc191783222"/>
      <w:bookmarkStart w:id="108" w:name="_Toc251613829"/>
      <w:bookmarkStart w:id="109" w:name="_Toc213755858"/>
      <w:bookmarkStart w:id="110" w:name="_Toc259692740"/>
      <w:bookmarkStart w:id="111" w:name="_Toc182805217"/>
      <w:bookmarkStart w:id="112" w:name="_Toc160880529"/>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广州松田职业学院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9"/>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5"/>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Tahoma"/>
                <w:b/>
                <w:bCs/>
                <w:color w:val="FF0000"/>
                <w:sz w:val="20"/>
                <w:szCs w:val="20"/>
                <w:lang w:val="en-US" w:eastAsia="zh-CN"/>
              </w:rPr>
            </w:pPr>
            <w:r>
              <w:rPr>
                <w:rFonts w:hint="eastAsia" w:ascii="仿宋" w:hAnsi="仿宋" w:eastAsia="仿宋" w:cs="Tahoma"/>
                <w:b/>
                <w:bCs/>
                <w:color w:val="FF0000"/>
                <w:sz w:val="20"/>
                <w:szCs w:val="20"/>
              </w:rPr>
              <w:t>是否</w:t>
            </w:r>
            <w:r>
              <w:rPr>
                <w:rFonts w:hint="eastAsia" w:ascii="仿宋" w:hAnsi="仿宋" w:eastAsia="仿宋" w:cs="Tahoma"/>
                <w:b/>
                <w:bCs/>
                <w:color w:val="FF0000"/>
                <w:sz w:val="20"/>
                <w:szCs w:val="20"/>
                <w:lang w:val="en-US" w:eastAsia="zh-CN"/>
              </w:rPr>
              <w:t>需要演示</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3" w:name="_Toc213755945"/>
      <w:bookmarkStart w:id="114" w:name="_Toc267060076"/>
      <w:bookmarkStart w:id="115" w:name="_Toc266870441"/>
      <w:bookmarkStart w:id="116" w:name="_Toc258401265"/>
      <w:bookmarkStart w:id="117" w:name="_Toc181436466"/>
      <w:bookmarkStart w:id="118" w:name="_Toc267059658"/>
      <w:bookmarkStart w:id="119" w:name="_Toc255975016"/>
      <w:bookmarkStart w:id="120" w:name="_Toc191802695"/>
      <w:bookmarkStart w:id="121" w:name="_Toc211917121"/>
      <w:bookmarkStart w:id="122" w:name="_Toc182372787"/>
      <w:bookmarkStart w:id="123" w:name="_Toc235437998"/>
      <w:bookmarkStart w:id="124" w:name="_Toc180302918"/>
      <w:bookmarkStart w:id="125" w:name="_Toc267059186"/>
      <w:bookmarkStart w:id="126" w:name="_Toc267059924"/>
      <w:bookmarkStart w:id="127" w:name="_Toc267060461"/>
      <w:bookmarkStart w:id="128" w:name="_Toc267059544"/>
      <w:bookmarkStart w:id="129" w:name="_Toc213756001"/>
      <w:bookmarkStart w:id="130" w:name="_Toc266870839"/>
      <w:bookmarkStart w:id="131" w:name="_Toc251586241"/>
      <w:bookmarkStart w:id="132" w:name="_Toc213208771"/>
      <w:bookmarkStart w:id="133" w:name="_Toc181436570"/>
      <w:bookmarkStart w:id="134" w:name="_Toc203355738"/>
      <w:bookmarkStart w:id="135" w:name="_Toc251613839"/>
      <w:bookmarkStart w:id="136" w:name="_Toc182805222"/>
      <w:bookmarkStart w:id="137" w:name="_Toc192664158"/>
      <w:bookmarkStart w:id="138" w:name="_Toc253066624"/>
      <w:bookmarkStart w:id="139" w:name="_Toc267059811"/>
      <w:bookmarkStart w:id="140" w:name="_Toc169332954"/>
      <w:bookmarkStart w:id="141" w:name="_Toc219800249"/>
      <w:bookmarkStart w:id="142" w:name="_Toc225669328"/>
      <w:bookmarkStart w:id="143" w:name="_Toc259692749"/>
      <w:bookmarkStart w:id="144" w:name="_Toc266868943"/>
      <w:bookmarkStart w:id="145" w:name="_Toc267059035"/>
      <w:bookmarkStart w:id="146" w:name="_Toc259520874"/>
      <w:bookmarkStart w:id="147" w:name="_Toc191803631"/>
      <w:bookmarkStart w:id="148" w:name="_Toc267060216"/>
      <w:bookmarkStart w:id="149" w:name="_Toc160880165"/>
      <w:bookmarkStart w:id="150" w:name="_Toc227058536"/>
      <w:bookmarkStart w:id="151" w:name="_Toc191789334"/>
      <w:bookmarkStart w:id="152" w:name="_Toc273178703"/>
      <w:bookmarkStart w:id="153" w:name="_Toc193160453"/>
      <w:bookmarkStart w:id="154" w:name="_Toc177985474"/>
      <w:bookmarkStart w:id="155" w:name="_Toc266868679"/>
      <w:bookmarkStart w:id="156" w:name="_Toc223146614"/>
      <w:bookmarkStart w:id="157" w:name="_Toc213756057"/>
      <w:bookmarkStart w:id="158" w:name="_Toc192996451"/>
      <w:bookmarkStart w:id="159" w:name="_Toc192663691"/>
      <w:bookmarkStart w:id="160" w:name="_Toc193165739"/>
      <w:bookmarkStart w:id="161" w:name="_Toc267060326"/>
      <w:bookmarkStart w:id="162" w:name="_Toc236021457"/>
      <w:bookmarkStart w:id="163" w:name="_Toc259692656"/>
      <w:bookmarkStart w:id="164" w:name="_Toc232302122"/>
      <w:bookmarkStart w:id="165" w:name="_Toc254790909"/>
      <w:bookmarkStart w:id="166" w:name="_Toc169332843"/>
      <w:bookmarkStart w:id="167" w:name="_Toc235438281"/>
      <w:bookmarkStart w:id="168" w:name="_Toc170798798"/>
      <w:bookmarkStart w:id="169" w:name="_Toc213755864"/>
      <w:bookmarkStart w:id="170" w:name="_Toc235438352"/>
      <w:bookmarkStart w:id="171" w:name="_Toc266870916"/>
      <w:bookmarkStart w:id="172" w:name="_Toc160880534"/>
      <w:bookmarkStart w:id="173" w:name="_Toc192663840"/>
      <w:bookmarkStart w:id="174" w:name="_Toc230071153"/>
      <w:bookmarkStart w:id="175" w:name="_Toc217891408"/>
      <w:bookmarkStart w:id="176" w:name="_Toc191783227"/>
      <w:bookmarkStart w:id="177" w:name="_Toc249325720"/>
      <w:bookmarkStart w:id="178" w:name="_Toc192996343"/>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b/>
          <w:bCs/>
          <w:sz w:val="24"/>
          <w:szCs w:val="24"/>
        </w:rPr>
        <w:t>参与人资质材料</w:t>
      </w:r>
    </w:p>
    <w:p>
      <w:pPr>
        <w:pStyle w:val="42"/>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7"/>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7"/>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7"/>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hint="eastAsia" w:ascii="宋体" w:hAnsi="宋体"/>
          <w:b/>
          <w:kern w:val="2"/>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embedRegular r:id="rId1" w:fontKey="{33AA27E0-E9FA-4F1B-B6D6-1A2BA4C30C99}"/>
  </w:font>
  <w:font w:name="Tahoma">
    <w:panose1 w:val="020B0604030504040204"/>
    <w:charset w:val="00"/>
    <w:family w:val="swiss"/>
    <w:pitch w:val="default"/>
    <w:sig w:usb0="E1002EFF" w:usb1="C000605B" w:usb2="00000029" w:usb3="00000000" w:csb0="200101FF" w:csb1="20280000"/>
    <w:embedRegular r:id="rId2" w:fontKey="{16A059FA-B3D4-457D-942A-FFEFC1B387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8"/>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8"/>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eastAsiaTheme="minorEastAsia"/>
        <w:lang w:eastAsia="zh-CN"/>
      </w:rPr>
    </w:pPr>
    <w:r>
      <w:rPr>
        <w:rFonts w:hint="eastAsia" w:eastAsiaTheme="minorEastAsia"/>
        <w:lang w:eastAsia="zh-CN"/>
      </w:rPr>
      <w:drawing>
        <wp:inline distT="0" distB="0" distL="114300" distR="114300">
          <wp:extent cx="1386205" cy="403225"/>
          <wp:effectExtent l="0" t="0" r="4445" b="1587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386205" cy="403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eastAsiaTheme="minorEastAsia"/>
        <w:lang w:eastAsia="zh-CN"/>
      </w:rPr>
    </w:pPr>
    <w:r>
      <w:rPr>
        <w:rFonts w:hint="eastAsia" w:eastAsiaTheme="minorEastAsia"/>
        <w:lang w:eastAsia="zh-CN"/>
      </w:rPr>
      <w:drawing>
        <wp:inline distT="0" distB="0" distL="114300" distR="114300">
          <wp:extent cx="1447165" cy="421005"/>
          <wp:effectExtent l="0" t="0" r="635" b="1714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447165" cy="4210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sz w:val="24"/>
        <w:szCs w:val="24"/>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184"/>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3487FFE"/>
    <w:rsid w:val="06655F2D"/>
    <w:rsid w:val="0BF20BF4"/>
    <w:rsid w:val="0CC9021B"/>
    <w:rsid w:val="0DA85907"/>
    <w:rsid w:val="14BE3B88"/>
    <w:rsid w:val="15717080"/>
    <w:rsid w:val="15AF5AAC"/>
    <w:rsid w:val="1C974FA5"/>
    <w:rsid w:val="1CD7194A"/>
    <w:rsid w:val="1EAB29F9"/>
    <w:rsid w:val="1F351A67"/>
    <w:rsid w:val="247C007F"/>
    <w:rsid w:val="25032A9C"/>
    <w:rsid w:val="26D134D1"/>
    <w:rsid w:val="2896224D"/>
    <w:rsid w:val="2B166D33"/>
    <w:rsid w:val="2F71370E"/>
    <w:rsid w:val="2FF55188"/>
    <w:rsid w:val="3446126F"/>
    <w:rsid w:val="358D47B7"/>
    <w:rsid w:val="3A9E204B"/>
    <w:rsid w:val="3C3D15BF"/>
    <w:rsid w:val="3F076F10"/>
    <w:rsid w:val="3FEB3260"/>
    <w:rsid w:val="4E493D17"/>
    <w:rsid w:val="50946CB8"/>
    <w:rsid w:val="52594124"/>
    <w:rsid w:val="53D37E40"/>
    <w:rsid w:val="5CE62B2B"/>
    <w:rsid w:val="61F142E0"/>
    <w:rsid w:val="6B4250A5"/>
    <w:rsid w:val="74FF6EC8"/>
    <w:rsid w:val="77EA5CB6"/>
    <w:rsid w:val="79946659"/>
    <w:rsid w:val="7AB5324B"/>
    <w:rsid w:val="7ED8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3">
    <w:name w:val="heading 1"/>
    <w:basedOn w:val="1"/>
    <w:next w:val="1"/>
    <w:link w:val="31"/>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4">
    <w:name w:val="heading 2"/>
    <w:basedOn w:val="1"/>
    <w:next w:val="1"/>
    <w:link w:val="32"/>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5">
    <w:name w:val="heading 3"/>
    <w:basedOn w:val="1"/>
    <w:next w:val="1"/>
    <w:link w:val="33"/>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6">
    <w:name w:val="heading 4"/>
    <w:basedOn w:val="1"/>
    <w:next w:val="1"/>
    <w:link w:val="34"/>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7">
    <w:name w:val="heading 5"/>
    <w:basedOn w:val="1"/>
    <w:next w:val="1"/>
    <w:link w:val="35"/>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8">
    <w:name w:val="heading 6"/>
    <w:basedOn w:val="1"/>
    <w:next w:val="1"/>
    <w:link w:val="36"/>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9">
    <w:name w:val="heading 7"/>
    <w:basedOn w:val="1"/>
    <w:next w:val="1"/>
    <w:link w:val="37"/>
    <w:semiHidden/>
    <w:unhideWhenUsed/>
    <w:qFormat/>
    <w:uiPriority w:val="9"/>
    <w:pPr>
      <w:keepNext/>
      <w:keepLines/>
      <w:spacing w:before="120" w:after="0"/>
      <w:outlineLvl w:val="6"/>
    </w:pPr>
    <w:rPr>
      <w:i/>
      <w:iCs/>
    </w:rPr>
  </w:style>
  <w:style w:type="paragraph" w:styleId="10">
    <w:name w:val="heading 8"/>
    <w:basedOn w:val="1"/>
    <w:next w:val="1"/>
    <w:link w:val="38"/>
    <w:semiHidden/>
    <w:unhideWhenUsed/>
    <w:qFormat/>
    <w:uiPriority w:val="9"/>
    <w:pPr>
      <w:keepNext/>
      <w:keepLines/>
      <w:spacing w:before="120" w:after="0"/>
      <w:outlineLvl w:val="7"/>
    </w:pPr>
    <w:rPr>
      <w:b/>
      <w:bCs/>
    </w:rPr>
  </w:style>
  <w:style w:type="paragraph" w:styleId="11">
    <w:name w:val="heading 9"/>
    <w:basedOn w:val="1"/>
    <w:next w:val="1"/>
    <w:link w:val="39"/>
    <w:semiHidden/>
    <w:unhideWhenUsed/>
    <w:qFormat/>
    <w:uiPriority w:val="9"/>
    <w:pPr>
      <w:keepNext/>
      <w:keepLines/>
      <w:spacing w:before="120" w:after="0"/>
      <w:outlineLvl w:val="8"/>
    </w:pPr>
    <w:rPr>
      <w:i/>
      <w:iCs/>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99"/>
    <w:pPr>
      <w:ind w:firstLine="420" w:firstLineChars="200"/>
    </w:pPr>
    <w:rPr>
      <w:sz w:val="20"/>
    </w:rPr>
  </w:style>
  <w:style w:type="paragraph" w:styleId="12">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3">
    <w:name w:val="caption"/>
    <w:basedOn w:val="1"/>
    <w:next w:val="1"/>
    <w:semiHidden/>
    <w:unhideWhenUsed/>
    <w:qFormat/>
    <w:uiPriority w:val="35"/>
    <w:rPr>
      <w:b/>
      <w:bCs/>
      <w:sz w:val="18"/>
      <w:szCs w:val="18"/>
    </w:rPr>
  </w:style>
  <w:style w:type="paragraph" w:styleId="14">
    <w:name w:val="annotation text"/>
    <w:basedOn w:val="1"/>
    <w:semiHidden/>
    <w:unhideWhenUsed/>
    <w:qFormat/>
    <w:uiPriority w:val="99"/>
    <w:pPr>
      <w:jc w:val="left"/>
    </w:pPr>
  </w:style>
  <w:style w:type="paragraph" w:styleId="15">
    <w:name w:val="Body Text"/>
    <w:basedOn w:val="1"/>
    <w:link w:val="61"/>
    <w:semiHidden/>
    <w:unhideWhenUsed/>
    <w:qFormat/>
    <w:uiPriority w:val="99"/>
    <w:pPr>
      <w:spacing w:after="120"/>
    </w:pPr>
  </w:style>
  <w:style w:type="paragraph" w:styleId="16">
    <w:name w:val="toc 3"/>
    <w:basedOn w:val="1"/>
    <w:next w:val="1"/>
    <w:unhideWhenUsed/>
    <w:qFormat/>
    <w:uiPriority w:val="39"/>
    <w:pPr>
      <w:spacing w:after="100" w:line="259" w:lineRule="auto"/>
      <w:ind w:left="440"/>
      <w:jc w:val="left"/>
    </w:pPr>
    <w:rPr>
      <w:rFonts w:cs="Times New Roman"/>
    </w:rPr>
  </w:style>
  <w:style w:type="paragraph" w:styleId="17">
    <w:name w:val="Plain Text"/>
    <w:basedOn w:val="1"/>
    <w:link w:val="60"/>
    <w:unhideWhenUsed/>
    <w:qFormat/>
    <w:uiPriority w:val="0"/>
    <w:rPr>
      <w:rFonts w:hAnsi="Courier New" w:cs="Courier New" w:asciiTheme="minorEastAsia"/>
    </w:rPr>
  </w:style>
  <w:style w:type="paragraph" w:styleId="18">
    <w:name w:val="footer"/>
    <w:basedOn w:val="1"/>
    <w:link w:val="56"/>
    <w:unhideWhenUsed/>
    <w:qFormat/>
    <w:uiPriority w:val="99"/>
    <w:pPr>
      <w:tabs>
        <w:tab w:val="center" w:pos="4153"/>
        <w:tab w:val="right" w:pos="8306"/>
      </w:tabs>
      <w:snapToGrid w:val="0"/>
      <w:spacing w:line="240" w:lineRule="auto"/>
      <w:jc w:val="left"/>
    </w:pPr>
    <w:rPr>
      <w:sz w:val="18"/>
      <w:szCs w:val="18"/>
    </w:rPr>
  </w:style>
  <w:style w:type="paragraph" w:styleId="19">
    <w:name w:val="header"/>
    <w:basedOn w:val="1"/>
    <w:link w:val="5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unhideWhenUsed/>
    <w:qFormat/>
    <w:uiPriority w:val="39"/>
    <w:pPr>
      <w:spacing w:after="100" w:line="259" w:lineRule="auto"/>
      <w:jc w:val="left"/>
    </w:pPr>
    <w:rPr>
      <w:rFonts w:cs="Times New Roman"/>
    </w:rPr>
  </w:style>
  <w:style w:type="paragraph" w:styleId="21">
    <w:name w:val="Subtitle"/>
    <w:basedOn w:val="1"/>
    <w:next w:val="1"/>
    <w:link w:val="41"/>
    <w:qFormat/>
    <w:uiPriority w:val="11"/>
    <w:pPr>
      <w:spacing w:after="240"/>
      <w:jc w:val="center"/>
    </w:pPr>
    <w:rPr>
      <w:rFonts w:asciiTheme="majorHAnsi" w:hAnsiTheme="majorHAnsi" w:eastAsiaTheme="majorEastAsia" w:cstheme="majorBidi"/>
      <w:sz w:val="24"/>
      <w:szCs w:val="24"/>
    </w:rPr>
  </w:style>
  <w:style w:type="paragraph" w:styleId="22">
    <w:name w:val="Body Text Indent 3"/>
    <w:basedOn w:val="1"/>
    <w:link w:val="58"/>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3">
    <w:name w:val="toc 2"/>
    <w:basedOn w:val="1"/>
    <w:next w:val="1"/>
    <w:unhideWhenUsed/>
    <w:qFormat/>
    <w:uiPriority w:val="39"/>
    <w:pPr>
      <w:spacing w:after="100" w:line="259" w:lineRule="auto"/>
      <w:ind w:left="220"/>
      <w:jc w:val="left"/>
    </w:pPr>
    <w:rPr>
      <w:rFonts w:cs="Times New Roman"/>
    </w:rPr>
  </w:style>
  <w:style w:type="paragraph" w:styleId="24">
    <w:name w:val="Title"/>
    <w:basedOn w:val="1"/>
    <w:next w:val="1"/>
    <w:link w:val="40"/>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7">
    <w:name w:val="Strong"/>
    <w:basedOn w:val="26"/>
    <w:qFormat/>
    <w:uiPriority w:val="22"/>
    <w:rPr>
      <w:b/>
      <w:bCs/>
      <w:color w:val="auto"/>
    </w:rPr>
  </w:style>
  <w:style w:type="character" w:styleId="28">
    <w:name w:val="Emphasis"/>
    <w:basedOn w:val="26"/>
    <w:qFormat/>
    <w:uiPriority w:val="20"/>
    <w:rPr>
      <w:i/>
      <w:iCs/>
      <w:color w:val="auto"/>
    </w:rPr>
  </w:style>
  <w:style w:type="character" w:styleId="29">
    <w:name w:val="Hyperlink"/>
    <w:basedOn w:val="26"/>
    <w:unhideWhenUsed/>
    <w:qFormat/>
    <w:uiPriority w:val="99"/>
    <w:rPr>
      <w:color w:val="F49100"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1 字符"/>
    <w:basedOn w:val="26"/>
    <w:link w:val="3"/>
    <w:qFormat/>
    <w:uiPriority w:val="9"/>
    <w:rPr>
      <w:rFonts w:asciiTheme="majorHAnsi" w:hAnsiTheme="majorHAnsi" w:eastAsiaTheme="majorEastAsia" w:cstheme="majorBidi"/>
      <w:b/>
      <w:bCs/>
      <w:caps/>
      <w:spacing w:val="4"/>
      <w:sz w:val="28"/>
      <w:szCs w:val="28"/>
    </w:rPr>
  </w:style>
  <w:style w:type="character" w:customStyle="1" w:styleId="32">
    <w:name w:val="标题 2 字符"/>
    <w:basedOn w:val="26"/>
    <w:link w:val="4"/>
    <w:semiHidden/>
    <w:qFormat/>
    <w:uiPriority w:val="9"/>
    <w:rPr>
      <w:rFonts w:asciiTheme="majorHAnsi" w:hAnsiTheme="majorHAnsi" w:eastAsiaTheme="majorEastAsia" w:cstheme="majorBidi"/>
      <w:b/>
      <w:bCs/>
      <w:sz w:val="28"/>
      <w:szCs w:val="28"/>
    </w:rPr>
  </w:style>
  <w:style w:type="character" w:customStyle="1" w:styleId="33">
    <w:name w:val="标题 3 字符"/>
    <w:basedOn w:val="26"/>
    <w:link w:val="5"/>
    <w:semiHidden/>
    <w:qFormat/>
    <w:uiPriority w:val="9"/>
    <w:rPr>
      <w:rFonts w:asciiTheme="majorHAnsi" w:hAnsiTheme="majorHAnsi" w:eastAsiaTheme="majorEastAsia" w:cstheme="majorBidi"/>
      <w:spacing w:val="4"/>
      <w:sz w:val="24"/>
      <w:szCs w:val="24"/>
    </w:rPr>
  </w:style>
  <w:style w:type="character" w:customStyle="1" w:styleId="34">
    <w:name w:val="标题 4 字符"/>
    <w:basedOn w:val="26"/>
    <w:link w:val="6"/>
    <w:semiHidden/>
    <w:qFormat/>
    <w:uiPriority w:val="9"/>
    <w:rPr>
      <w:rFonts w:asciiTheme="majorHAnsi" w:hAnsiTheme="majorHAnsi" w:eastAsiaTheme="majorEastAsia" w:cstheme="majorBidi"/>
      <w:i/>
      <w:iCs/>
      <w:sz w:val="24"/>
      <w:szCs w:val="24"/>
    </w:rPr>
  </w:style>
  <w:style w:type="character" w:customStyle="1" w:styleId="35">
    <w:name w:val="标题 5 字符"/>
    <w:basedOn w:val="26"/>
    <w:link w:val="7"/>
    <w:semiHidden/>
    <w:qFormat/>
    <w:uiPriority w:val="9"/>
    <w:rPr>
      <w:rFonts w:asciiTheme="majorHAnsi" w:hAnsiTheme="majorHAnsi" w:eastAsiaTheme="majorEastAsia" w:cstheme="majorBidi"/>
      <w:b/>
      <w:bCs/>
    </w:rPr>
  </w:style>
  <w:style w:type="character" w:customStyle="1" w:styleId="36">
    <w:name w:val="标题 6 字符"/>
    <w:basedOn w:val="26"/>
    <w:link w:val="8"/>
    <w:semiHidden/>
    <w:qFormat/>
    <w:uiPriority w:val="9"/>
    <w:rPr>
      <w:rFonts w:asciiTheme="majorHAnsi" w:hAnsiTheme="majorHAnsi" w:eastAsiaTheme="majorEastAsia" w:cstheme="majorBidi"/>
      <w:b/>
      <w:bCs/>
      <w:i/>
      <w:iCs/>
    </w:rPr>
  </w:style>
  <w:style w:type="character" w:customStyle="1" w:styleId="37">
    <w:name w:val="标题 7 字符"/>
    <w:basedOn w:val="26"/>
    <w:link w:val="9"/>
    <w:semiHidden/>
    <w:qFormat/>
    <w:uiPriority w:val="9"/>
    <w:rPr>
      <w:i/>
      <w:iCs/>
    </w:rPr>
  </w:style>
  <w:style w:type="character" w:customStyle="1" w:styleId="38">
    <w:name w:val="标题 8 字符"/>
    <w:basedOn w:val="26"/>
    <w:link w:val="10"/>
    <w:semiHidden/>
    <w:qFormat/>
    <w:uiPriority w:val="9"/>
    <w:rPr>
      <w:b/>
      <w:bCs/>
    </w:rPr>
  </w:style>
  <w:style w:type="character" w:customStyle="1" w:styleId="39">
    <w:name w:val="标题 9 字符"/>
    <w:basedOn w:val="26"/>
    <w:link w:val="11"/>
    <w:semiHidden/>
    <w:qFormat/>
    <w:uiPriority w:val="9"/>
    <w:rPr>
      <w:i/>
      <w:iCs/>
    </w:rPr>
  </w:style>
  <w:style w:type="character" w:customStyle="1" w:styleId="40">
    <w:name w:val="标题 字符"/>
    <w:basedOn w:val="26"/>
    <w:link w:val="24"/>
    <w:qFormat/>
    <w:uiPriority w:val="10"/>
    <w:rPr>
      <w:rFonts w:asciiTheme="majorHAnsi" w:hAnsiTheme="majorHAnsi" w:eastAsiaTheme="majorEastAsia" w:cstheme="majorBidi"/>
      <w:b/>
      <w:bCs/>
      <w:spacing w:val="-7"/>
      <w:sz w:val="48"/>
      <w:szCs w:val="48"/>
    </w:rPr>
  </w:style>
  <w:style w:type="character" w:customStyle="1" w:styleId="41">
    <w:name w:val="副标题 字符"/>
    <w:basedOn w:val="26"/>
    <w:link w:val="21"/>
    <w:qFormat/>
    <w:uiPriority w:val="11"/>
    <w:rPr>
      <w:rFonts w:asciiTheme="majorHAnsi" w:hAnsiTheme="majorHAnsi" w:eastAsiaTheme="majorEastAsia" w:cstheme="majorBidi"/>
      <w:sz w:val="24"/>
      <w:szCs w:val="24"/>
    </w:rPr>
  </w:style>
  <w:style w:type="paragraph" w:styleId="42">
    <w:name w:val="No Spacing"/>
    <w:link w:val="53"/>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3">
    <w:name w:val="Quote"/>
    <w:basedOn w:val="1"/>
    <w:next w:val="1"/>
    <w:link w:val="44"/>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4">
    <w:name w:val="引用 字符"/>
    <w:basedOn w:val="26"/>
    <w:link w:val="43"/>
    <w:qFormat/>
    <w:uiPriority w:val="29"/>
    <w:rPr>
      <w:rFonts w:asciiTheme="majorHAnsi" w:hAnsiTheme="majorHAnsi" w:eastAsiaTheme="majorEastAsia" w:cstheme="majorBidi"/>
      <w:i/>
      <w:iCs/>
      <w:sz w:val="24"/>
      <w:szCs w:val="24"/>
    </w:rPr>
  </w:style>
  <w:style w:type="paragraph" w:styleId="45">
    <w:name w:val="Intense Quote"/>
    <w:basedOn w:val="1"/>
    <w:next w:val="1"/>
    <w:link w:val="46"/>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6">
    <w:name w:val="明显引用 字符"/>
    <w:basedOn w:val="26"/>
    <w:link w:val="45"/>
    <w:qFormat/>
    <w:uiPriority w:val="30"/>
    <w:rPr>
      <w:rFonts w:asciiTheme="majorHAnsi" w:hAnsiTheme="majorHAnsi" w:eastAsiaTheme="majorEastAsia" w:cstheme="majorBidi"/>
      <w:sz w:val="26"/>
      <w:szCs w:val="26"/>
    </w:rPr>
  </w:style>
  <w:style w:type="character" w:customStyle="1" w:styleId="47">
    <w:name w:val="Subtle Emphasis"/>
    <w:basedOn w:val="26"/>
    <w:qFormat/>
    <w:uiPriority w:val="19"/>
    <w:rPr>
      <w:i/>
      <w:iCs/>
      <w:color w:val="auto"/>
    </w:rPr>
  </w:style>
  <w:style w:type="character" w:customStyle="1" w:styleId="48">
    <w:name w:val="Intense Emphasis"/>
    <w:basedOn w:val="26"/>
    <w:qFormat/>
    <w:uiPriority w:val="21"/>
    <w:rPr>
      <w:b/>
      <w:bCs/>
      <w:i/>
      <w:iCs/>
      <w:color w:val="auto"/>
    </w:rPr>
  </w:style>
  <w:style w:type="character" w:customStyle="1" w:styleId="49">
    <w:name w:val="Subtle Reference"/>
    <w:basedOn w:val="26"/>
    <w:qFormat/>
    <w:uiPriority w:val="31"/>
    <w:rPr>
      <w:smallCaps/>
      <w:color w:val="auto"/>
      <w:u w:val="single" w:color="7E7E7E" w:themeColor="text1" w:themeTint="80"/>
    </w:rPr>
  </w:style>
  <w:style w:type="character" w:customStyle="1" w:styleId="50">
    <w:name w:val="Intense Reference"/>
    <w:basedOn w:val="26"/>
    <w:qFormat/>
    <w:uiPriority w:val="32"/>
    <w:rPr>
      <w:b/>
      <w:bCs/>
      <w:smallCaps/>
      <w:color w:val="auto"/>
      <w:u w:val="single"/>
    </w:rPr>
  </w:style>
  <w:style w:type="character" w:customStyle="1" w:styleId="51">
    <w:name w:val="Book Title"/>
    <w:basedOn w:val="26"/>
    <w:qFormat/>
    <w:uiPriority w:val="33"/>
    <w:rPr>
      <w:b/>
      <w:bCs/>
      <w:smallCaps/>
      <w:color w:val="auto"/>
    </w:rPr>
  </w:style>
  <w:style w:type="paragraph" w:customStyle="1" w:styleId="52">
    <w:name w:val="TOC Heading"/>
    <w:basedOn w:val="3"/>
    <w:next w:val="1"/>
    <w:unhideWhenUsed/>
    <w:qFormat/>
    <w:uiPriority w:val="39"/>
    <w:pPr>
      <w:outlineLvl w:val="9"/>
    </w:pPr>
  </w:style>
  <w:style w:type="character" w:customStyle="1" w:styleId="53">
    <w:name w:val="无间隔 字符"/>
    <w:basedOn w:val="26"/>
    <w:link w:val="42"/>
    <w:qFormat/>
    <w:uiPriority w:val="1"/>
  </w:style>
  <w:style w:type="paragraph" w:customStyle="1" w:styleId="54">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5">
    <w:name w:val="页眉 字符"/>
    <w:basedOn w:val="26"/>
    <w:link w:val="19"/>
    <w:qFormat/>
    <w:uiPriority w:val="99"/>
    <w:rPr>
      <w:sz w:val="18"/>
      <w:szCs w:val="18"/>
    </w:rPr>
  </w:style>
  <w:style w:type="character" w:customStyle="1" w:styleId="56">
    <w:name w:val="页脚 字符"/>
    <w:basedOn w:val="26"/>
    <w:link w:val="18"/>
    <w:qFormat/>
    <w:uiPriority w:val="99"/>
    <w:rPr>
      <w:sz w:val="18"/>
      <w:szCs w:val="18"/>
    </w:rPr>
  </w:style>
  <w:style w:type="paragraph" w:styleId="57">
    <w:name w:val="List Paragraph"/>
    <w:basedOn w:val="1"/>
    <w:qFormat/>
    <w:uiPriority w:val="34"/>
    <w:pPr>
      <w:ind w:firstLine="420" w:firstLineChars="200"/>
    </w:pPr>
  </w:style>
  <w:style w:type="character" w:customStyle="1" w:styleId="58">
    <w:name w:val="正文文本缩进 3 字符"/>
    <w:basedOn w:val="26"/>
    <w:link w:val="22"/>
    <w:qFormat/>
    <w:uiPriority w:val="0"/>
    <w:rPr>
      <w:rFonts w:ascii="Times New Roman" w:hAnsi="Times New Roman" w:eastAsia="宋体" w:cs="Times New Roman"/>
      <w:kern w:val="2"/>
      <w:sz w:val="16"/>
      <w:szCs w:val="16"/>
    </w:rPr>
  </w:style>
  <w:style w:type="paragraph" w:customStyle="1" w:styleId="59">
    <w:name w:val="样式3"/>
    <w:basedOn w:val="17"/>
    <w:qFormat/>
    <w:uiPriority w:val="0"/>
    <w:pPr>
      <w:widowControl w:val="0"/>
      <w:spacing w:after="0" w:line="0" w:lineRule="atLeast"/>
      <w:outlineLvl w:val="0"/>
    </w:pPr>
    <w:rPr>
      <w:rFonts w:ascii="宋体" w:eastAsia="宋体" w:cs="Times New Roman"/>
      <w:kern w:val="2"/>
      <w:sz w:val="28"/>
      <w:szCs w:val="20"/>
    </w:rPr>
  </w:style>
  <w:style w:type="character" w:customStyle="1" w:styleId="60">
    <w:name w:val="纯文本 字符"/>
    <w:basedOn w:val="26"/>
    <w:link w:val="17"/>
    <w:semiHidden/>
    <w:qFormat/>
    <w:uiPriority w:val="99"/>
    <w:rPr>
      <w:rFonts w:hAnsi="Courier New" w:cs="Courier New" w:asciiTheme="minorEastAsia"/>
    </w:rPr>
  </w:style>
  <w:style w:type="character" w:customStyle="1" w:styleId="61">
    <w:name w:val="正文文本 字符"/>
    <w:basedOn w:val="26"/>
    <w:link w:val="15"/>
    <w:semiHidden/>
    <w:qFormat/>
    <w:uiPriority w:val="99"/>
  </w:style>
  <w:style w:type="character" w:customStyle="1" w:styleId="62">
    <w:name w:val="纯文本 Char"/>
    <w:qFormat/>
    <w:uiPriority w:val="0"/>
    <w:rPr>
      <w:rFonts w:ascii="宋体" w:hAnsi="Courier New" w:eastAsia="宋体"/>
      <w:kern w:val="2"/>
      <w:sz w:val="21"/>
      <w:lang w:val="en-US" w:eastAsia="zh-CN" w:bidi="ar-SA"/>
    </w:rPr>
  </w:style>
  <w:style w:type="character" w:customStyle="1" w:styleId="63">
    <w:name w:val="font31"/>
    <w:basedOn w:val="26"/>
    <w:qFormat/>
    <w:uiPriority w:val="0"/>
    <w:rPr>
      <w:rFonts w:hint="eastAsia" w:ascii="宋体" w:hAnsi="宋体" w:eastAsia="宋体" w:cs="宋体"/>
      <w:color w:val="000000"/>
      <w:sz w:val="20"/>
      <w:szCs w:val="20"/>
      <w:u w:val="none"/>
    </w:rPr>
  </w:style>
  <w:style w:type="character" w:customStyle="1" w:styleId="64">
    <w:name w:val="font21"/>
    <w:basedOn w:val="26"/>
    <w:qFormat/>
    <w:uiPriority w:val="0"/>
    <w:rPr>
      <w:rFonts w:hint="eastAsia" w:ascii="宋体" w:hAnsi="宋体" w:eastAsia="宋体" w:cs="宋体"/>
      <w:color w:val="000000"/>
      <w:sz w:val="20"/>
      <w:szCs w:val="20"/>
      <w:u w:val="none"/>
    </w:rPr>
  </w:style>
  <w:style w:type="character" w:customStyle="1" w:styleId="65">
    <w:name w:val="font11"/>
    <w:basedOn w:val="26"/>
    <w:qFormat/>
    <w:uiPriority w:val="0"/>
    <w:rPr>
      <w:rFonts w:hint="eastAsia" w:ascii="宋体" w:hAnsi="宋体" w:eastAsia="宋体" w:cs="宋体"/>
      <w:color w:val="000000"/>
      <w:sz w:val="20"/>
      <w:szCs w:val="20"/>
      <w:u w:val="none"/>
    </w:rPr>
  </w:style>
  <w:style w:type="character" w:customStyle="1" w:styleId="66">
    <w:name w:val="font51"/>
    <w:basedOn w:val="2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10</Pages>
  <Words>4312</Words>
  <Characters>4436</Characters>
  <Lines>19</Lines>
  <Paragraphs>5</Paragraphs>
  <TotalTime>2</TotalTime>
  <ScaleCrop>false</ScaleCrop>
  <LinksUpToDate>false</LinksUpToDate>
  <CharactersWithSpaces>4652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陈惠琳</cp:lastModifiedBy>
  <dcterms:modified xsi:type="dcterms:W3CDTF">2022-09-09T07:43:19Z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E885830EC31E468E9279C9BF845D92F3</vt:lpwstr>
  </property>
</Properties>
</file>