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bookmarkStart w:id="0" w:name="_Hlk10840310"/>
      <w:r>
        <w:drawing>
          <wp:anchor distT="0" distB="0" distL="114300" distR="114300" simplePos="0" relativeHeight="251659264" behindDoc="1" locked="0" layoutInCell="1" allowOverlap="1">
            <wp:simplePos x="0" y="0"/>
            <wp:positionH relativeFrom="page">
              <wp:posOffset>2233930</wp:posOffset>
            </wp:positionH>
            <wp:positionV relativeFrom="page">
              <wp:posOffset>1150620</wp:posOffset>
            </wp:positionV>
            <wp:extent cx="3252470" cy="70485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252470" cy="704850"/>
                    </a:xfrm>
                    <a:prstGeom prst="rect">
                      <a:avLst/>
                    </a:prstGeom>
                  </pic:spPr>
                </pic:pic>
              </a:graphicData>
            </a:graphic>
          </wp:anchor>
        </w:drawing>
      </w:r>
    </w:p>
    <w:p>
      <w:pPr>
        <w:spacing w:line="1000" w:lineRule="exact"/>
        <w:jc w:val="center"/>
        <w:rPr>
          <w:rFonts w:hint="eastAsia" w:ascii="仿宋" w:hAnsi="仿宋" w:eastAsia="仿宋"/>
          <w:b/>
          <w:sz w:val="44"/>
          <w:szCs w:val="24"/>
          <w:highlight w:val="yellow"/>
          <w:lang w:val="en-US" w:eastAsia="zh-CN"/>
        </w:rPr>
      </w:pPr>
    </w:p>
    <w:p>
      <w:pPr>
        <w:spacing w:line="1000" w:lineRule="exact"/>
        <w:jc w:val="center"/>
        <w:rPr>
          <w:rFonts w:hint="default" w:ascii="仿宋" w:hAnsi="仿宋" w:eastAsia="仿宋"/>
          <w:b/>
          <w:sz w:val="44"/>
          <w:szCs w:val="24"/>
          <w:lang w:val="en-US"/>
        </w:rPr>
      </w:pPr>
      <w:r>
        <w:rPr>
          <w:rFonts w:hint="eastAsia" w:ascii="仿宋" w:hAnsi="仿宋" w:eastAsia="仿宋"/>
          <w:b/>
          <w:sz w:val="44"/>
          <w:szCs w:val="24"/>
          <w:highlight w:val="none"/>
          <w:lang w:val="en-US" w:eastAsia="zh-CN"/>
        </w:rPr>
        <w:t>中教集团广东四校关于中秋教工慰问品采购项目</w:t>
      </w:r>
    </w:p>
    <w:p>
      <w:pPr>
        <w:spacing w:line="1000" w:lineRule="exact"/>
        <w:jc w:val="center"/>
        <w:rPr>
          <w:rFonts w:ascii="仿宋" w:hAnsi="仿宋" w:eastAsia="仿宋"/>
          <w:b/>
          <w:sz w:val="72"/>
          <w:szCs w:val="72"/>
        </w:rPr>
      </w:pPr>
      <w:bookmarkStart w:id="182" w:name="_GoBack"/>
      <w:bookmarkEnd w:id="182"/>
      <w:r>
        <w:rPr>
          <w:rFonts w:hint="eastAsia" w:ascii="仿宋" w:hAnsi="仿宋" w:eastAsia="仿宋"/>
          <w:b/>
          <w:sz w:val="72"/>
          <w:szCs w:val="72"/>
        </w:rPr>
        <w:t>公</w:t>
      </w:r>
    </w:p>
    <w:p>
      <w:pPr>
        <w:spacing w:line="1000" w:lineRule="exact"/>
        <w:jc w:val="center"/>
        <w:rPr>
          <w:rFonts w:ascii="仿宋" w:hAnsi="仿宋" w:eastAsia="仿宋"/>
          <w:b/>
          <w:sz w:val="72"/>
          <w:szCs w:val="72"/>
        </w:rPr>
      </w:pPr>
      <w:r>
        <w:rPr>
          <w:rFonts w:hint="eastAsia" w:ascii="仿宋" w:hAnsi="仿宋" w:eastAsia="仿宋"/>
          <w:b/>
          <w:sz w:val="72"/>
          <w:szCs w:val="72"/>
        </w:rPr>
        <w:t>开</w:t>
      </w:r>
    </w:p>
    <w:p>
      <w:pPr>
        <w:spacing w:line="1000" w:lineRule="exact"/>
        <w:jc w:val="center"/>
        <w:rPr>
          <w:rFonts w:ascii="仿宋" w:hAnsi="仿宋" w:eastAsia="仿宋"/>
          <w:b/>
          <w:sz w:val="72"/>
          <w:szCs w:val="72"/>
        </w:rPr>
      </w:pPr>
      <w:r>
        <w:rPr>
          <w:rFonts w:hint="eastAsia" w:ascii="仿宋" w:hAnsi="仿宋" w:eastAsia="仿宋"/>
          <w:b/>
          <w:sz w:val="72"/>
          <w:szCs w:val="72"/>
        </w:rPr>
        <w:t>询</w:t>
      </w:r>
    </w:p>
    <w:p>
      <w:pPr>
        <w:spacing w:line="1000" w:lineRule="exact"/>
        <w:jc w:val="center"/>
        <w:rPr>
          <w:rFonts w:ascii="仿宋" w:hAnsi="仿宋" w:eastAsia="仿宋"/>
          <w:b/>
          <w:sz w:val="72"/>
          <w:szCs w:val="72"/>
        </w:rPr>
      </w:pPr>
      <w:r>
        <w:rPr>
          <w:rFonts w:hint="eastAsia" w:ascii="仿宋" w:hAnsi="仿宋" w:eastAsia="仿宋"/>
          <w:b/>
          <w:sz w:val="72"/>
          <w:szCs w:val="72"/>
        </w:rPr>
        <w:t>价</w:t>
      </w:r>
    </w:p>
    <w:p>
      <w:pPr>
        <w:spacing w:line="1000" w:lineRule="exact"/>
        <w:jc w:val="center"/>
        <w:rPr>
          <w:rFonts w:ascii="仿宋" w:hAnsi="仿宋" w:eastAsia="仿宋"/>
          <w:b/>
          <w:sz w:val="72"/>
          <w:szCs w:val="72"/>
        </w:rPr>
      </w:pPr>
      <w:r>
        <w:rPr>
          <w:rFonts w:hint="eastAsia" w:ascii="仿宋" w:hAnsi="仿宋" w:eastAsia="仿宋"/>
          <w:b/>
          <w:sz w:val="72"/>
          <w:szCs w:val="72"/>
        </w:rPr>
        <w:t>邀</w:t>
      </w:r>
    </w:p>
    <w:p>
      <w:pPr>
        <w:spacing w:line="1000" w:lineRule="exact"/>
        <w:jc w:val="center"/>
        <w:rPr>
          <w:rFonts w:ascii="仿宋" w:hAnsi="仿宋" w:eastAsia="仿宋"/>
          <w:b/>
          <w:sz w:val="72"/>
          <w:szCs w:val="72"/>
        </w:rPr>
      </w:pPr>
      <w:r>
        <w:rPr>
          <w:rFonts w:hint="eastAsia" w:ascii="仿宋" w:hAnsi="仿宋" w:eastAsia="仿宋"/>
          <w:b/>
          <w:sz w:val="72"/>
          <w:szCs w:val="72"/>
        </w:rPr>
        <w:t>请</w:t>
      </w:r>
    </w:p>
    <w:p>
      <w:pPr>
        <w:spacing w:line="1000" w:lineRule="exact"/>
        <w:jc w:val="center"/>
        <w:rPr>
          <w:rFonts w:ascii="仿宋" w:hAnsi="仿宋" w:eastAsia="仿宋"/>
          <w:b/>
          <w:sz w:val="72"/>
          <w:szCs w:val="72"/>
        </w:rPr>
      </w:pPr>
      <w:r>
        <w:rPr>
          <w:rFonts w:hint="eastAsia" w:ascii="仿宋" w:hAnsi="仿宋" w:eastAsia="仿宋"/>
          <w:b/>
          <w:sz w:val="72"/>
          <w:szCs w:val="72"/>
        </w:rPr>
        <w:t>函</w:t>
      </w:r>
    </w:p>
    <w:p>
      <w:pPr>
        <w:spacing w:line="500" w:lineRule="exact"/>
        <w:ind w:firstLine="2530" w:firstLineChars="700"/>
        <w:jc w:val="both"/>
        <w:rPr>
          <w:rFonts w:hint="default" w:ascii="仿宋" w:hAnsi="仿宋" w:eastAsia="仿宋"/>
          <w:b/>
          <w:sz w:val="36"/>
          <w:szCs w:val="36"/>
          <w:highlight w:val="none"/>
          <w:lang w:val="en-US" w:eastAsia="zh-CN"/>
        </w:rPr>
      </w:pPr>
      <w:r>
        <w:rPr>
          <w:rFonts w:hint="eastAsia" w:ascii="仿宋" w:hAnsi="仿宋" w:eastAsia="仿宋"/>
          <w:b/>
          <w:sz w:val="36"/>
          <w:szCs w:val="36"/>
        </w:rPr>
        <w:t>项目编号：</w:t>
      </w:r>
      <w:bookmarkStart w:id="1" w:name="_Toc169332792"/>
      <w:bookmarkStart w:id="2" w:name="_Toc160880118"/>
      <w:bookmarkStart w:id="3" w:name="_Toc160880485"/>
      <w:r>
        <w:rPr>
          <w:rFonts w:hint="eastAsia" w:ascii="仿宋" w:hAnsi="仿宋" w:eastAsia="仿宋"/>
          <w:b/>
          <w:sz w:val="36"/>
          <w:szCs w:val="36"/>
          <w:highlight w:val="none"/>
        </w:rPr>
        <w:t>B-XJ2022-</w:t>
      </w:r>
      <w:r>
        <w:rPr>
          <w:rFonts w:hint="eastAsia" w:ascii="仿宋" w:hAnsi="仿宋" w:eastAsia="仿宋"/>
          <w:b/>
          <w:sz w:val="36"/>
          <w:szCs w:val="36"/>
          <w:highlight w:val="none"/>
          <w:lang w:val="en-US" w:eastAsia="zh-CN"/>
        </w:rPr>
        <w:t>13</w:t>
      </w:r>
    </w:p>
    <w:p>
      <w:pPr>
        <w:spacing w:line="500" w:lineRule="exact"/>
        <w:jc w:val="center"/>
        <w:rPr>
          <w:rFonts w:hint="default" w:ascii="仿宋" w:hAnsi="仿宋" w:eastAsia="仿宋"/>
          <w:b/>
          <w:color w:val="auto"/>
          <w:sz w:val="44"/>
          <w:szCs w:val="44"/>
          <w:highlight w:val="none"/>
          <w:lang w:val="en-US"/>
        </w:rPr>
      </w:pPr>
      <w:r>
        <w:rPr>
          <w:rFonts w:hint="eastAsia" w:ascii="仿宋" w:hAnsi="仿宋" w:eastAsia="仿宋"/>
          <w:b/>
          <w:sz w:val="36"/>
          <w:szCs w:val="36"/>
          <w:highlight w:val="none"/>
        </w:rPr>
        <w:t>项目名称</w:t>
      </w:r>
      <w:bookmarkEnd w:id="1"/>
      <w:bookmarkEnd w:id="2"/>
      <w:bookmarkEnd w:id="3"/>
      <w:bookmarkStart w:id="4" w:name="_Toc253066567"/>
      <w:bookmarkStart w:id="5" w:name="_Toc266868924"/>
      <w:bookmarkStart w:id="6" w:name="_Toc211937196"/>
      <w:bookmarkStart w:id="7" w:name="_Toc160880487"/>
      <w:bookmarkStart w:id="8" w:name="_Toc258401210"/>
      <w:bookmarkStart w:id="9" w:name="_Toc212526081"/>
      <w:bookmarkStart w:id="10" w:name="_Toc267060022"/>
      <w:bookmarkStart w:id="11" w:name="_Toc207014580"/>
      <w:bookmarkStart w:id="12" w:name="_Toc267060162"/>
      <w:bookmarkStart w:id="13" w:name="_Toc225669277"/>
      <w:bookmarkStart w:id="14" w:name="_Toc267060407"/>
      <w:bookmarkStart w:id="15" w:name="_Toc212454753"/>
      <w:bookmarkStart w:id="16" w:name="_Toc170798743"/>
      <w:bookmarkStart w:id="17" w:name="_Toc251613780"/>
      <w:bookmarkStart w:id="18" w:name="_Toc267059010"/>
      <w:bookmarkStart w:id="19" w:name="_Toc255974963"/>
      <w:bookmarkStart w:id="20" w:name="_Toc259692693"/>
      <w:bookmarkStart w:id="21" w:name="_Toc266870861"/>
      <w:bookmarkStart w:id="22" w:name="_Toc235437942"/>
      <w:bookmarkStart w:id="23" w:name="_Toc251586187"/>
      <w:bookmarkStart w:id="24" w:name="_Toc267059519"/>
      <w:bookmarkStart w:id="25" w:name="_Toc217891359"/>
      <w:bookmarkStart w:id="26" w:name="_Toc235438227"/>
      <w:bookmarkStart w:id="27" w:name="_Toc212456146"/>
      <w:bookmarkStart w:id="28" w:name="_Toc259692600"/>
      <w:bookmarkStart w:id="29" w:name="_Toc267059899"/>
      <w:bookmarkStart w:id="30" w:name="_Toc177985424"/>
      <w:bookmarkStart w:id="31" w:name="_Toc267059786"/>
      <w:bookmarkStart w:id="32" w:name="_Toc273178686"/>
      <w:bookmarkStart w:id="33" w:name="_Toc259520819"/>
      <w:bookmarkStart w:id="34" w:name="_Toc236021402"/>
      <w:bookmarkStart w:id="35" w:name="_Toc219800200"/>
      <w:bookmarkStart w:id="36" w:name="_Toc254790852"/>
      <w:bookmarkStart w:id="37" w:name="_Toc169332794"/>
      <w:bookmarkStart w:id="38" w:name="_Toc267059633"/>
      <w:bookmarkStart w:id="39" w:name="_Toc216241307"/>
      <w:bookmarkStart w:id="40" w:name="_Toc266868624"/>
      <w:bookmarkStart w:id="41" w:name="_Toc223146565"/>
      <w:bookmarkStart w:id="42" w:name="_Toc227058483"/>
      <w:bookmarkStart w:id="43" w:name="_Toc249325665"/>
      <w:bookmarkStart w:id="44" w:name="_Toc212530253"/>
      <w:bookmarkStart w:id="45" w:name="_Toc169332904"/>
      <w:bookmarkStart w:id="46" w:name="_Toc235438297"/>
      <w:bookmarkStart w:id="47" w:name="_Toc266870386"/>
      <w:bookmarkStart w:id="48" w:name="_Toc267059161"/>
      <w:r>
        <w:rPr>
          <w:rFonts w:hint="eastAsia" w:ascii="仿宋" w:hAnsi="仿宋" w:eastAsia="仿宋"/>
          <w:b/>
          <w:sz w:val="36"/>
          <w:szCs w:val="36"/>
          <w:highlight w:val="none"/>
          <w:lang w:eastAsia="zh-CN"/>
        </w:rPr>
        <w:t>：</w:t>
      </w:r>
      <w:r>
        <w:rPr>
          <w:rFonts w:hint="eastAsia" w:ascii="仿宋" w:hAnsi="仿宋" w:eastAsia="仿宋"/>
          <w:b/>
          <w:sz w:val="36"/>
          <w:szCs w:val="36"/>
          <w:highlight w:val="none"/>
          <w:lang w:val="en-US" w:eastAsia="zh-CN"/>
        </w:rPr>
        <w:t>中教集团广东四校关于中秋教工慰问品采购项目</w:t>
      </w:r>
    </w:p>
    <w:p>
      <w:pPr>
        <w:pStyle w:val="51"/>
        <w:spacing w:line="360" w:lineRule="auto"/>
        <w:jc w:val="both"/>
        <w:outlineLvl w:val="0"/>
        <w:rPr>
          <w:rFonts w:hint="eastAsia" w:ascii="仿宋" w:hAnsi="仿宋" w:eastAsia="仿宋"/>
          <w:b/>
          <w:color w:val="auto"/>
          <w:sz w:val="44"/>
          <w:szCs w:val="44"/>
        </w:rPr>
      </w:pPr>
    </w:p>
    <w:p>
      <w:pPr>
        <w:pStyle w:val="51"/>
        <w:spacing w:line="360" w:lineRule="auto"/>
        <w:jc w:val="center"/>
        <w:outlineLvl w:val="0"/>
        <w:rPr>
          <w:rFonts w:hint="eastAsia" w:ascii="仿宋" w:hAnsi="仿宋" w:eastAsia="仿宋"/>
          <w:b/>
          <w:color w:val="auto"/>
          <w:sz w:val="44"/>
          <w:szCs w:val="44"/>
        </w:rPr>
      </w:pPr>
    </w:p>
    <w:p>
      <w:pPr>
        <w:pStyle w:val="51"/>
        <w:spacing w:line="360" w:lineRule="auto"/>
        <w:jc w:val="center"/>
        <w:outlineLvl w:val="0"/>
        <w:rPr>
          <w:rFonts w:hint="eastAsia" w:ascii="仿宋" w:hAnsi="仿宋" w:eastAsia="仿宋"/>
          <w:sz w:val="28"/>
          <w:szCs w:val="28"/>
        </w:rPr>
      </w:pPr>
      <w:r>
        <w:rPr>
          <w:rFonts w:hint="eastAsia" w:ascii="仿宋" w:hAnsi="仿宋" w:eastAsia="仿宋"/>
          <w:b/>
          <w:color w:val="auto"/>
          <w:sz w:val="44"/>
          <w:szCs w:val="44"/>
        </w:rPr>
        <w:t>一、询价邀请</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Pr>
          <w:rFonts w:hint="eastAsia" w:ascii="仿宋" w:hAnsi="仿宋" w:eastAsia="仿宋"/>
          <w:b/>
          <w:color w:val="auto"/>
          <w:sz w:val="44"/>
          <w:szCs w:val="44"/>
        </w:rPr>
        <w:t>函</w:t>
      </w:r>
    </w:p>
    <w:p>
      <w:pPr>
        <w:spacing w:line="500" w:lineRule="exact"/>
        <w:ind w:firstLine="560" w:firstLineChars="200"/>
        <w:rPr>
          <w:rFonts w:hint="eastAsia" w:ascii="仿宋" w:hAnsi="仿宋" w:eastAsia="仿宋"/>
          <w:sz w:val="28"/>
          <w:szCs w:val="28"/>
        </w:rPr>
      </w:pPr>
      <w:r>
        <w:rPr>
          <w:rFonts w:hint="eastAsia" w:ascii="仿宋" w:hAnsi="仿宋" w:eastAsia="仿宋"/>
          <w:sz w:val="28"/>
          <w:szCs w:val="28"/>
        </w:rPr>
        <w:t>广东白云学院是教育部批准成立的全日制普通本科院校。2009年通过学士学位授予单位授权点评审。2011年通过教育部本科教学工作合格评估。2018年接受了教育部本科教学审核评估。学校连续12年蝉联广东省社会科学院评定的“广东省民办高校竞争力十强”第一名。根据需要，对本次项目进行公开询价，欢迎国内合格参与人参与。</w:t>
      </w:r>
    </w:p>
    <w:p>
      <w:pPr>
        <w:spacing w:line="500" w:lineRule="exact"/>
        <w:ind w:firstLine="560" w:firstLineChars="200"/>
        <w:rPr>
          <w:rFonts w:ascii="仿宋" w:hAnsi="仿宋" w:eastAsia="仿宋"/>
          <w:color w:val="auto"/>
          <w:sz w:val="28"/>
          <w:szCs w:val="28"/>
          <w:highlight w:val="none"/>
        </w:rPr>
      </w:pPr>
      <w:r>
        <w:rPr>
          <w:rFonts w:hint="eastAsia" w:ascii="仿宋" w:hAnsi="仿宋" w:eastAsia="仿宋"/>
          <w:sz w:val="28"/>
          <w:szCs w:val="28"/>
        </w:rPr>
        <w:t>广州应用科技学院是一所经广东省人民政府批准、教育部备案的全日制普通高等职业学院，是中国教育集团（港股代码：00839）旗下的高校。根据需要，对本次项目进行公开询价，欢迎国内合格参与人参与。</w:t>
      </w:r>
    </w:p>
    <w:p>
      <w:pPr>
        <w:spacing w:after="0" w:line="500" w:lineRule="exact"/>
        <w:ind w:firstLine="425" w:firstLineChars="152"/>
        <w:jc w:val="left"/>
        <w:rPr>
          <w:rFonts w:ascii="仿宋" w:hAnsi="仿宋" w:eastAsia="仿宋"/>
          <w:color w:val="auto"/>
          <w:sz w:val="28"/>
          <w:szCs w:val="28"/>
          <w:highlight w:val="none"/>
        </w:rPr>
      </w:pPr>
      <w:r>
        <w:rPr>
          <w:rFonts w:hint="eastAsia" w:ascii="仿宋" w:hAnsi="仿宋" w:eastAsia="仿宋"/>
          <w:color w:val="auto"/>
          <w:sz w:val="28"/>
          <w:szCs w:val="28"/>
          <w:highlight w:val="none"/>
        </w:rPr>
        <w:t>一、项目说明</w:t>
      </w:r>
    </w:p>
    <w:p>
      <w:pPr>
        <w:spacing w:after="0" w:line="500" w:lineRule="exact"/>
        <w:ind w:firstLine="364" w:firstLineChars="152"/>
        <w:jc w:val="left"/>
        <w:rPr>
          <w:rFonts w:ascii="仿宋" w:hAnsi="仿宋" w:eastAsia="仿宋"/>
          <w:color w:val="auto"/>
          <w:sz w:val="24"/>
          <w:szCs w:val="24"/>
          <w:highlight w:val="none"/>
        </w:rPr>
      </w:pPr>
      <w:r>
        <w:rPr>
          <w:rFonts w:hint="eastAsia" w:ascii="仿宋" w:hAnsi="仿宋" w:eastAsia="仿宋"/>
          <w:color w:val="auto"/>
          <w:sz w:val="24"/>
          <w:szCs w:val="24"/>
          <w:highlight w:val="none"/>
        </w:rPr>
        <w:t>一、项目说明</w:t>
      </w:r>
    </w:p>
    <w:p>
      <w:pPr>
        <w:widowControl w:val="0"/>
        <w:numPr>
          <w:ilvl w:val="1"/>
          <w:numId w:val="1"/>
        </w:numPr>
        <w:spacing w:after="0" w:line="5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项目编号：B-XJ2022-</w:t>
      </w:r>
      <w:r>
        <w:rPr>
          <w:rFonts w:hint="eastAsia" w:ascii="仿宋" w:hAnsi="仿宋" w:eastAsia="仿宋"/>
          <w:color w:val="auto"/>
          <w:sz w:val="24"/>
          <w:szCs w:val="24"/>
          <w:highlight w:val="none"/>
          <w:lang w:val="en-US" w:eastAsia="zh-CN"/>
        </w:rPr>
        <w:t>13</w:t>
      </w:r>
    </w:p>
    <w:p>
      <w:pPr>
        <w:widowControl w:val="0"/>
        <w:numPr>
          <w:ilvl w:val="1"/>
          <w:numId w:val="1"/>
        </w:numPr>
        <w:spacing w:after="0" w:line="5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项目名称：</w:t>
      </w:r>
      <w:r>
        <w:rPr>
          <w:rFonts w:hint="eastAsia" w:ascii="仿宋" w:hAnsi="仿宋" w:eastAsia="仿宋"/>
          <w:color w:val="auto"/>
          <w:sz w:val="24"/>
          <w:szCs w:val="24"/>
          <w:highlight w:val="none"/>
          <w:lang w:val="en-US" w:eastAsia="zh-CN"/>
        </w:rPr>
        <w:t>中教集团广东四校关于中秋教工慰问品采购项目</w:t>
      </w:r>
    </w:p>
    <w:p>
      <w:pPr>
        <w:widowControl w:val="0"/>
        <w:numPr>
          <w:ilvl w:val="1"/>
          <w:numId w:val="1"/>
        </w:numPr>
        <w:spacing w:after="0" w:line="5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数量及</w:t>
      </w:r>
      <w:r>
        <w:rPr>
          <w:rFonts w:hint="eastAsia" w:ascii="仿宋" w:hAnsi="仿宋" w:eastAsia="仿宋"/>
          <w:color w:val="auto"/>
          <w:sz w:val="24"/>
          <w:szCs w:val="24"/>
          <w:highlight w:val="none"/>
          <w:lang w:val="en-US" w:eastAsia="zh-CN"/>
        </w:rPr>
        <w:t>技术</w:t>
      </w:r>
      <w:r>
        <w:rPr>
          <w:rFonts w:hint="eastAsia" w:ascii="仿宋" w:hAnsi="仿宋" w:eastAsia="仿宋"/>
          <w:color w:val="auto"/>
          <w:sz w:val="24"/>
          <w:szCs w:val="24"/>
          <w:highlight w:val="none"/>
        </w:rPr>
        <w:t>要求:详见《公开询价货物一览表》。</w:t>
      </w:r>
    </w:p>
    <w:p>
      <w:pPr>
        <w:widowControl w:val="0"/>
        <w:numPr>
          <w:ilvl w:val="1"/>
          <w:numId w:val="1"/>
        </w:numPr>
        <w:spacing w:after="0" w:line="5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参与人资格标准：</w:t>
      </w:r>
    </w:p>
    <w:p>
      <w:pPr>
        <w:pStyle w:val="54"/>
        <w:numPr>
          <w:ilvl w:val="0"/>
          <w:numId w:val="2"/>
        </w:numPr>
        <w:spacing w:after="0" w:line="460" w:lineRule="exact"/>
        <w:ind w:left="1380" w:leftChars="0" w:firstLineChars="0"/>
        <w:rPr>
          <w:rFonts w:ascii="仿宋" w:hAnsi="仿宋" w:eastAsia="仿宋"/>
          <w:color w:val="auto"/>
          <w:sz w:val="24"/>
          <w:szCs w:val="24"/>
          <w:highlight w:val="none"/>
        </w:rPr>
      </w:pPr>
      <w:r>
        <w:rPr>
          <w:rFonts w:hint="eastAsia" w:ascii="仿宋" w:hAnsi="仿宋" w:eastAsia="仿宋"/>
          <w:color w:val="auto"/>
          <w:sz w:val="24"/>
          <w:szCs w:val="24"/>
          <w:highlight w:val="none"/>
        </w:rPr>
        <w:t>参与人应具有独立法人资格的</w:t>
      </w:r>
      <w:r>
        <w:rPr>
          <w:rFonts w:hint="eastAsia" w:ascii="仿宋" w:hAnsi="仿宋" w:eastAsia="仿宋"/>
          <w:color w:val="auto"/>
          <w:sz w:val="24"/>
          <w:szCs w:val="24"/>
          <w:highlight w:val="none"/>
          <w:lang w:val="en-US" w:eastAsia="zh-CN"/>
        </w:rPr>
        <w:t>供应商</w:t>
      </w:r>
      <w:r>
        <w:rPr>
          <w:rFonts w:hint="eastAsia" w:ascii="仿宋" w:hAnsi="仿宋" w:eastAsia="仿宋"/>
          <w:color w:val="auto"/>
          <w:sz w:val="24"/>
          <w:szCs w:val="24"/>
          <w:highlight w:val="none"/>
        </w:rPr>
        <w:t>。</w:t>
      </w:r>
    </w:p>
    <w:p>
      <w:pPr>
        <w:pStyle w:val="54"/>
        <w:numPr>
          <w:ilvl w:val="0"/>
          <w:numId w:val="2"/>
        </w:numPr>
        <w:spacing w:after="0" w:line="460" w:lineRule="exact"/>
        <w:ind w:left="1380" w:leftChars="0" w:firstLineChars="0"/>
        <w:rPr>
          <w:rFonts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参</w:t>
      </w:r>
      <w:r>
        <w:rPr>
          <w:rFonts w:hint="eastAsia" w:ascii="仿宋" w:hAnsi="仿宋" w:eastAsia="仿宋"/>
          <w:color w:val="auto"/>
          <w:sz w:val="24"/>
          <w:szCs w:val="24"/>
          <w:highlight w:val="none"/>
        </w:rPr>
        <w:t>与人应具有提供</w:t>
      </w:r>
      <w:r>
        <w:rPr>
          <w:rFonts w:hint="eastAsia" w:ascii="仿宋" w:hAnsi="仿宋" w:eastAsia="仿宋"/>
          <w:color w:val="auto"/>
          <w:sz w:val="24"/>
          <w:szCs w:val="24"/>
          <w:highlight w:val="none"/>
          <w:lang w:val="en-US" w:eastAsia="zh-CN"/>
        </w:rPr>
        <w:t>中秋节</w:t>
      </w:r>
      <w:r>
        <w:rPr>
          <w:rFonts w:hint="eastAsia" w:ascii="仿宋" w:hAnsi="仿宋" w:eastAsia="仿宋"/>
          <w:color w:val="auto"/>
          <w:sz w:val="24"/>
          <w:szCs w:val="24"/>
          <w:highlight w:val="none"/>
        </w:rPr>
        <w:t>礼品和送货服务的资格及能力。在广州市范围有固定售后服务机构，具备相应的质量保证和维护能力。</w:t>
      </w:r>
    </w:p>
    <w:p>
      <w:pPr>
        <w:pStyle w:val="54"/>
        <w:numPr>
          <w:ilvl w:val="0"/>
          <w:numId w:val="2"/>
        </w:numPr>
        <w:spacing w:after="0" w:line="460" w:lineRule="exact"/>
        <w:ind w:left="1380" w:leftChars="0" w:firstLineChars="0"/>
        <w:rPr>
          <w:rFonts w:ascii="仿宋" w:hAnsi="仿宋" w:eastAsia="仿宋"/>
          <w:color w:val="auto"/>
          <w:sz w:val="24"/>
          <w:szCs w:val="24"/>
          <w:highlight w:val="none"/>
        </w:rPr>
      </w:pPr>
      <w:r>
        <w:rPr>
          <w:rFonts w:hint="eastAsia" w:ascii="仿宋" w:hAnsi="仿宋" w:eastAsia="仿宋"/>
          <w:color w:val="auto"/>
          <w:sz w:val="24"/>
          <w:szCs w:val="24"/>
          <w:highlight w:val="none"/>
        </w:rPr>
        <w:t>参与人应遵守中国的有关法律、法规和规章的规定。参与人应遵守中国的有关法律、法规和规章的规定。</w:t>
      </w:r>
    </w:p>
    <w:p>
      <w:pPr>
        <w:pStyle w:val="54"/>
        <w:numPr>
          <w:ilvl w:val="0"/>
          <w:numId w:val="2"/>
        </w:numPr>
        <w:spacing w:after="0" w:line="460" w:lineRule="exact"/>
        <w:ind w:left="1380" w:leftChars="0" w:firstLineChars="0"/>
        <w:rPr>
          <w:rFonts w:ascii="仿宋" w:hAnsi="仿宋" w:eastAsia="仿宋"/>
          <w:color w:val="auto"/>
          <w:sz w:val="24"/>
          <w:szCs w:val="24"/>
          <w:highlight w:val="none"/>
        </w:rPr>
      </w:pPr>
      <w:r>
        <w:rPr>
          <w:rFonts w:hint="eastAsia" w:ascii="仿宋" w:hAnsi="仿宋" w:eastAsia="仿宋"/>
          <w:color w:val="auto"/>
          <w:sz w:val="24"/>
          <w:szCs w:val="24"/>
          <w:highlight w:val="none"/>
        </w:rPr>
        <w:t>参与人须有良好的商业信誉和健全的财务制度。</w:t>
      </w:r>
    </w:p>
    <w:p>
      <w:pPr>
        <w:pStyle w:val="54"/>
        <w:numPr>
          <w:ilvl w:val="0"/>
          <w:numId w:val="2"/>
        </w:numPr>
        <w:spacing w:after="0" w:line="460" w:lineRule="exact"/>
        <w:ind w:left="1380" w:leftChars="0" w:firstLineChars="0"/>
        <w:rPr>
          <w:rFonts w:ascii="仿宋" w:hAnsi="仿宋" w:eastAsia="仿宋"/>
          <w:color w:val="auto"/>
          <w:sz w:val="24"/>
          <w:szCs w:val="24"/>
          <w:highlight w:val="none"/>
        </w:rPr>
      </w:pPr>
      <w:r>
        <w:rPr>
          <w:rFonts w:hint="eastAsia" w:ascii="仿宋" w:hAnsi="仿宋" w:eastAsia="仿宋"/>
          <w:color w:val="auto"/>
          <w:sz w:val="24"/>
          <w:szCs w:val="24"/>
          <w:highlight w:val="none"/>
        </w:rPr>
        <w:t>参与人有依法缴纳税金和社会保障资金的良好记录。</w:t>
      </w:r>
    </w:p>
    <w:p>
      <w:pPr>
        <w:widowControl w:val="0"/>
        <w:numPr>
          <w:ilvl w:val="1"/>
          <w:numId w:val="1"/>
        </w:numPr>
        <w:spacing w:after="0" w:line="500" w:lineRule="exact"/>
        <w:rPr>
          <w:rFonts w:ascii="仿宋" w:hAnsi="仿宋" w:eastAsia="仿宋"/>
          <w:color w:val="auto"/>
          <w:sz w:val="24"/>
          <w:szCs w:val="24"/>
          <w:highlight w:val="none"/>
          <w:shd w:val="clear" w:color="auto" w:fill="FFFFFF"/>
        </w:rPr>
      </w:pPr>
      <w:r>
        <w:rPr>
          <w:rFonts w:hint="eastAsia" w:ascii="仿宋" w:hAnsi="仿宋" w:eastAsia="仿宋"/>
          <w:color w:val="auto"/>
          <w:sz w:val="24"/>
          <w:szCs w:val="24"/>
          <w:highlight w:val="none"/>
        </w:rPr>
        <w:t>报价响应文件递交方式：密封报价，按规定时间送达。</w:t>
      </w:r>
    </w:p>
    <w:p>
      <w:pPr>
        <w:widowControl w:val="0"/>
        <w:numPr>
          <w:ilvl w:val="1"/>
          <w:numId w:val="1"/>
        </w:numPr>
        <w:spacing w:after="0" w:line="500" w:lineRule="exact"/>
        <w:rPr>
          <w:rFonts w:hint="default" w:ascii="仿宋" w:hAnsi="仿宋" w:eastAsia="仿宋"/>
          <w:color w:val="auto"/>
          <w:sz w:val="24"/>
          <w:szCs w:val="24"/>
          <w:highlight w:val="none"/>
          <w:shd w:val="clear" w:color="auto" w:fill="FFFFFF"/>
          <w:lang w:val="en-US"/>
        </w:rPr>
      </w:pPr>
      <w:r>
        <w:rPr>
          <w:rFonts w:hint="eastAsia" w:ascii="仿宋" w:hAnsi="仿宋" w:eastAsia="仿宋"/>
          <w:color w:val="auto"/>
          <w:sz w:val="24"/>
          <w:szCs w:val="24"/>
          <w:highlight w:val="none"/>
        </w:rPr>
        <w:t>报价响应文件递交截止时间</w:t>
      </w:r>
      <w:r>
        <w:rPr>
          <w:rFonts w:hint="eastAsia" w:ascii="仿宋" w:hAnsi="仿宋" w:eastAsia="仿宋"/>
          <w:color w:val="auto"/>
          <w:sz w:val="24"/>
          <w:szCs w:val="24"/>
          <w:highlight w:val="none"/>
          <w:shd w:val="clear" w:color="auto" w:fill="FFFFFF"/>
        </w:rPr>
        <w:t>：</w:t>
      </w:r>
      <w:r>
        <w:rPr>
          <w:rFonts w:hint="eastAsia" w:ascii="仿宋" w:hAnsi="仿宋" w:eastAsia="仿宋"/>
          <w:color w:val="auto"/>
          <w:sz w:val="24"/>
          <w:szCs w:val="24"/>
          <w:highlight w:val="none"/>
          <w:shd w:val="clear" w:color="auto" w:fill="FFFFFF"/>
          <w:lang w:val="en-US" w:eastAsia="zh-CN"/>
        </w:rPr>
        <w:t>2022</w:t>
      </w:r>
      <w:r>
        <w:rPr>
          <w:rFonts w:hint="eastAsia" w:ascii="仿宋" w:hAnsi="仿宋" w:eastAsia="仿宋"/>
          <w:color w:val="auto"/>
          <w:sz w:val="24"/>
          <w:szCs w:val="24"/>
          <w:highlight w:val="none"/>
          <w:shd w:val="clear" w:color="auto" w:fill="FFFFFF"/>
        </w:rPr>
        <w:t>年</w:t>
      </w:r>
      <w:r>
        <w:rPr>
          <w:rFonts w:hint="eastAsia" w:ascii="仿宋" w:hAnsi="仿宋" w:eastAsia="仿宋"/>
          <w:color w:val="auto"/>
          <w:sz w:val="24"/>
          <w:szCs w:val="24"/>
          <w:highlight w:val="none"/>
          <w:shd w:val="clear" w:color="auto" w:fill="FFFFFF"/>
          <w:lang w:val="en-US" w:eastAsia="zh-CN"/>
        </w:rPr>
        <w:t>08</w:t>
      </w:r>
      <w:r>
        <w:rPr>
          <w:rFonts w:ascii="仿宋" w:hAnsi="仿宋" w:eastAsia="仿宋"/>
          <w:color w:val="auto"/>
          <w:sz w:val="24"/>
          <w:szCs w:val="24"/>
          <w:highlight w:val="none"/>
          <w:shd w:val="clear" w:color="auto" w:fill="FFFFFF"/>
        </w:rPr>
        <w:t>月</w:t>
      </w:r>
      <w:r>
        <w:rPr>
          <w:rFonts w:hint="eastAsia" w:ascii="仿宋" w:hAnsi="仿宋" w:eastAsia="仿宋"/>
          <w:color w:val="auto"/>
          <w:sz w:val="24"/>
          <w:szCs w:val="24"/>
          <w:highlight w:val="none"/>
          <w:shd w:val="clear" w:color="auto" w:fill="FFFFFF"/>
          <w:lang w:val="en-US" w:eastAsia="zh-CN"/>
        </w:rPr>
        <w:t>22</w:t>
      </w:r>
      <w:r>
        <w:rPr>
          <w:rFonts w:ascii="仿宋" w:hAnsi="仿宋" w:eastAsia="仿宋"/>
          <w:color w:val="auto"/>
          <w:sz w:val="24"/>
          <w:szCs w:val="24"/>
          <w:highlight w:val="none"/>
          <w:shd w:val="clear" w:color="auto" w:fill="FFFFFF"/>
        </w:rPr>
        <w:t>日</w:t>
      </w:r>
      <w:r>
        <w:rPr>
          <w:rFonts w:hint="eastAsia" w:ascii="仿宋" w:hAnsi="仿宋" w:eastAsia="仿宋"/>
          <w:color w:val="auto"/>
          <w:sz w:val="24"/>
          <w:szCs w:val="24"/>
          <w:highlight w:val="none"/>
          <w:shd w:val="clear" w:color="auto" w:fill="FFFFFF"/>
          <w:lang w:val="en-US" w:eastAsia="zh-CN"/>
        </w:rPr>
        <w:t>上</w:t>
      </w:r>
      <w:r>
        <w:rPr>
          <w:rFonts w:hint="eastAsia" w:ascii="仿宋" w:hAnsi="仿宋" w:eastAsia="仿宋"/>
          <w:color w:val="auto"/>
          <w:sz w:val="24"/>
          <w:szCs w:val="24"/>
          <w:highlight w:val="none"/>
          <w:shd w:val="clear" w:color="auto" w:fill="FFFFFF"/>
        </w:rPr>
        <w:t>午</w:t>
      </w:r>
      <w:r>
        <w:rPr>
          <w:rFonts w:hint="eastAsia" w:ascii="仿宋" w:hAnsi="仿宋" w:eastAsia="仿宋"/>
          <w:color w:val="auto"/>
          <w:sz w:val="24"/>
          <w:szCs w:val="24"/>
          <w:highlight w:val="none"/>
          <w:shd w:val="clear" w:color="auto" w:fill="FFFFFF"/>
          <w:lang w:val="en-US" w:eastAsia="zh-CN"/>
        </w:rPr>
        <w:t>10</w:t>
      </w:r>
      <w:r>
        <w:rPr>
          <w:rFonts w:hint="eastAsia" w:ascii="仿宋" w:hAnsi="仿宋" w:eastAsia="仿宋"/>
          <w:color w:val="auto"/>
          <w:sz w:val="24"/>
          <w:szCs w:val="24"/>
          <w:highlight w:val="none"/>
          <w:shd w:val="clear" w:color="auto" w:fill="FFFFFF"/>
        </w:rPr>
        <w:t>:</w:t>
      </w:r>
      <w:r>
        <w:rPr>
          <w:rFonts w:ascii="仿宋" w:hAnsi="仿宋" w:eastAsia="仿宋"/>
          <w:color w:val="auto"/>
          <w:sz w:val="24"/>
          <w:szCs w:val="24"/>
          <w:highlight w:val="none"/>
          <w:shd w:val="clear" w:color="auto" w:fill="FFFFFF"/>
        </w:rPr>
        <w:t>00</w:t>
      </w:r>
      <w:r>
        <w:rPr>
          <w:rFonts w:hint="eastAsia" w:ascii="仿宋" w:hAnsi="仿宋" w:eastAsia="仿宋"/>
          <w:color w:val="auto"/>
          <w:sz w:val="24"/>
          <w:szCs w:val="24"/>
          <w:highlight w:val="none"/>
          <w:shd w:val="clear" w:color="auto" w:fill="FFFFFF"/>
        </w:rPr>
        <w:t>前</w:t>
      </w:r>
      <w:r>
        <w:rPr>
          <w:rFonts w:hint="eastAsia" w:ascii="仿宋" w:hAnsi="仿宋" w:eastAsia="仿宋"/>
          <w:color w:val="auto"/>
          <w:sz w:val="24"/>
          <w:szCs w:val="24"/>
          <w:highlight w:val="none"/>
          <w:shd w:val="clear" w:color="auto" w:fill="FFFFFF"/>
          <w:lang w:val="en-US" w:eastAsia="zh-CN"/>
        </w:rPr>
        <w:t>。</w:t>
      </w:r>
    </w:p>
    <w:p>
      <w:pPr>
        <w:pStyle w:val="54"/>
        <w:numPr>
          <w:ilvl w:val="1"/>
          <w:numId w:val="1"/>
        </w:numPr>
        <w:spacing w:after="0" w:line="500" w:lineRule="exact"/>
        <w:ind w:firstLineChars="0"/>
        <w:rPr>
          <w:rFonts w:ascii="仿宋" w:hAnsi="仿宋" w:eastAsia="仿宋"/>
          <w:sz w:val="24"/>
          <w:szCs w:val="24"/>
          <w:highlight w:val="none"/>
        </w:rPr>
      </w:pPr>
      <w:r>
        <w:rPr>
          <w:rFonts w:hint="eastAsia" w:ascii="仿宋" w:hAnsi="仿宋" w:eastAsia="仿宋"/>
          <w:color w:val="auto"/>
          <w:sz w:val="24"/>
          <w:szCs w:val="24"/>
          <w:highlight w:val="none"/>
        </w:rPr>
        <w:t>报价响应文件递交地点：广州市增城区朱村街朱村大道东432号</w:t>
      </w:r>
      <w:r>
        <w:rPr>
          <w:rFonts w:hint="eastAsia" w:ascii="仿宋" w:hAnsi="仿宋" w:eastAsia="仿宋"/>
          <w:color w:val="auto"/>
          <w:sz w:val="24"/>
          <w:szCs w:val="24"/>
          <w:highlight w:val="none"/>
          <w:lang w:val="en-US" w:eastAsia="zh-CN"/>
        </w:rPr>
        <w:t>广州松田职业学</w:t>
      </w:r>
      <w:r>
        <w:rPr>
          <w:rFonts w:hint="eastAsia" w:ascii="仿宋" w:hAnsi="仿宋" w:eastAsia="仿宋"/>
          <w:sz w:val="24"/>
          <w:szCs w:val="24"/>
          <w:highlight w:val="none"/>
          <w:lang w:val="en-US" w:eastAsia="zh-CN"/>
        </w:rPr>
        <w:t>院采购办公室。</w:t>
      </w:r>
    </w:p>
    <w:p>
      <w:pPr>
        <w:pStyle w:val="54"/>
        <w:spacing w:after="0" w:line="500" w:lineRule="exact"/>
        <w:ind w:left="839" w:firstLine="0" w:firstLineChars="0"/>
        <w:rPr>
          <w:rFonts w:hint="default" w:ascii="仿宋" w:hAnsi="仿宋" w:eastAsia="仿宋"/>
          <w:color w:val="auto"/>
          <w:sz w:val="24"/>
          <w:szCs w:val="24"/>
          <w:lang w:val="en-US"/>
        </w:rPr>
      </w:pPr>
      <w:r>
        <w:rPr>
          <w:rFonts w:hint="eastAsia" w:ascii="仿宋" w:hAnsi="仿宋" w:eastAsia="仿宋"/>
          <w:color w:val="auto"/>
          <w:sz w:val="24"/>
          <w:szCs w:val="24"/>
        </w:rPr>
        <w:t>联系人：</w:t>
      </w:r>
      <w:r>
        <w:rPr>
          <w:rFonts w:hint="eastAsia" w:ascii="仿宋" w:hAnsi="仿宋" w:eastAsia="仿宋"/>
          <w:color w:val="auto"/>
          <w:sz w:val="24"/>
          <w:szCs w:val="24"/>
          <w:lang w:eastAsia="zh-CN"/>
        </w:rPr>
        <w:t>陈</w:t>
      </w:r>
      <w:r>
        <w:rPr>
          <w:rFonts w:hint="eastAsia" w:ascii="仿宋" w:hAnsi="仿宋" w:eastAsia="仿宋"/>
          <w:color w:val="auto"/>
          <w:sz w:val="24"/>
          <w:szCs w:val="24"/>
          <w:lang w:val="en-US" w:eastAsia="zh-CN"/>
        </w:rPr>
        <w:t>巧媚</w:t>
      </w:r>
      <w:r>
        <w:rPr>
          <w:rFonts w:hint="eastAsia" w:ascii="仿宋" w:hAnsi="仿宋" w:eastAsia="仿宋"/>
          <w:color w:val="auto"/>
          <w:sz w:val="24"/>
          <w:szCs w:val="24"/>
        </w:rPr>
        <w:t>；联系电话：</w:t>
      </w:r>
      <w:r>
        <w:rPr>
          <w:rFonts w:hint="eastAsia" w:ascii="仿宋" w:hAnsi="仿宋" w:eastAsia="仿宋"/>
          <w:color w:val="auto"/>
          <w:sz w:val="24"/>
          <w:szCs w:val="24"/>
          <w:lang w:val="en-US" w:eastAsia="zh-CN"/>
        </w:rPr>
        <w:t>15989063546</w:t>
      </w:r>
    </w:p>
    <w:p>
      <w:pPr>
        <w:widowControl w:val="0"/>
        <w:numPr>
          <w:ilvl w:val="1"/>
          <w:numId w:val="1"/>
        </w:numPr>
        <w:spacing w:after="0" w:line="500" w:lineRule="exact"/>
        <w:rPr>
          <w:rFonts w:ascii="仿宋" w:hAnsi="仿宋" w:eastAsia="仿宋"/>
          <w:color w:val="auto"/>
          <w:sz w:val="24"/>
          <w:szCs w:val="24"/>
        </w:rPr>
      </w:pPr>
      <w:r>
        <w:rPr>
          <w:rFonts w:hint="eastAsia" w:ascii="仿宋" w:hAnsi="仿宋" w:eastAsia="仿宋"/>
          <w:color w:val="auto"/>
          <w:sz w:val="24"/>
          <w:szCs w:val="24"/>
        </w:rPr>
        <w:t>参加本项目的参与人如对</w:t>
      </w:r>
      <w:r>
        <w:rPr>
          <w:rFonts w:hint="eastAsia" w:ascii="仿宋" w:hAnsi="仿宋" w:eastAsia="仿宋"/>
          <w:b/>
          <w:bCs/>
          <w:color w:val="auto"/>
          <w:sz w:val="24"/>
          <w:szCs w:val="24"/>
        </w:rPr>
        <w:t>公开询价邀请函列示内容存有疑问的</w:t>
      </w:r>
      <w:r>
        <w:rPr>
          <w:rFonts w:hint="eastAsia" w:ascii="仿宋" w:hAnsi="仿宋" w:eastAsia="仿宋"/>
          <w:color w:val="auto"/>
          <w:sz w:val="24"/>
          <w:szCs w:val="24"/>
        </w:rPr>
        <w:t>，请在报价响应文件递交截止之日前，将问题以书面形式（有效签署的原件并加盖公章）提交至学校业务对接人，联系人：</w:t>
      </w:r>
      <w:r>
        <w:rPr>
          <w:rFonts w:hint="eastAsia" w:ascii="仿宋" w:hAnsi="仿宋" w:eastAsia="仿宋"/>
          <w:color w:val="auto"/>
          <w:sz w:val="24"/>
          <w:szCs w:val="24"/>
          <w:lang w:eastAsia="zh-CN"/>
        </w:rPr>
        <w:t>陈</w:t>
      </w:r>
      <w:r>
        <w:rPr>
          <w:rFonts w:hint="eastAsia" w:ascii="仿宋" w:hAnsi="仿宋" w:eastAsia="仿宋"/>
          <w:color w:val="auto"/>
          <w:sz w:val="24"/>
          <w:szCs w:val="24"/>
          <w:lang w:val="en-US" w:eastAsia="zh-CN"/>
        </w:rPr>
        <w:t>巧媚</w:t>
      </w:r>
      <w:r>
        <w:rPr>
          <w:rFonts w:hint="eastAsia" w:ascii="仿宋" w:hAnsi="仿宋" w:eastAsia="仿宋"/>
          <w:color w:val="auto"/>
          <w:sz w:val="24"/>
          <w:szCs w:val="24"/>
        </w:rPr>
        <w:t>，电话：</w:t>
      </w:r>
      <w:r>
        <w:rPr>
          <w:rFonts w:hint="eastAsia" w:ascii="仿宋" w:hAnsi="仿宋" w:eastAsia="仿宋"/>
          <w:color w:val="auto"/>
          <w:sz w:val="24"/>
          <w:szCs w:val="24"/>
          <w:lang w:val="en-US" w:eastAsia="zh-CN"/>
        </w:rPr>
        <w:t>15989063546</w:t>
      </w:r>
      <w:r>
        <w:rPr>
          <w:rFonts w:hint="eastAsia" w:ascii="仿宋" w:hAnsi="仿宋" w:eastAsia="仿宋"/>
          <w:color w:val="auto"/>
          <w:sz w:val="24"/>
          <w:szCs w:val="24"/>
        </w:rPr>
        <w:t>。采购人不对超时提交及未加盖公章的质疑文件进行回复。</w:t>
      </w:r>
    </w:p>
    <w:p>
      <w:pPr>
        <w:widowControl w:val="0"/>
        <w:numPr>
          <w:ilvl w:val="1"/>
          <w:numId w:val="1"/>
        </w:numPr>
        <w:spacing w:after="0" w:line="460" w:lineRule="exact"/>
        <w:rPr>
          <w:rFonts w:ascii="仿宋" w:hAnsi="仿宋" w:eastAsia="仿宋"/>
          <w:color w:val="auto"/>
          <w:sz w:val="24"/>
          <w:szCs w:val="24"/>
        </w:rPr>
      </w:pPr>
      <w:bookmarkStart w:id="49" w:name="_Hlk97917519"/>
      <w:r>
        <w:rPr>
          <w:rFonts w:hint="eastAsia" w:ascii="仿宋" w:hAnsi="仿宋" w:eastAsia="仿宋"/>
          <w:color w:val="auto"/>
          <w:sz w:val="24"/>
          <w:szCs w:val="24"/>
        </w:rPr>
        <w:t>本项目最终成交结果会在中教集团后勤贤知平台“中标信息公示”板块公示，网址：</w:t>
      </w:r>
      <w:r>
        <w:rPr>
          <w:color w:val="auto"/>
        </w:rPr>
        <w:fldChar w:fldCharType="begin"/>
      </w:r>
      <w:r>
        <w:rPr>
          <w:color w:val="auto"/>
        </w:rPr>
        <w:instrText xml:space="preserve"> HYPERLINK "http://www.ceghqxz.com" </w:instrText>
      </w:r>
      <w:r>
        <w:rPr>
          <w:color w:val="auto"/>
        </w:rPr>
        <w:fldChar w:fldCharType="separate"/>
      </w:r>
      <w:r>
        <w:rPr>
          <w:rStyle w:val="27"/>
          <w:rFonts w:hint="eastAsia" w:ascii="仿宋" w:hAnsi="仿宋" w:eastAsia="仿宋"/>
          <w:color w:val="auto"/>
          <w:sz w:val="24"/>
          <w:szCs w:val="24"/>
        </w:rPr>
        <w:t>www.ceghqxz.com</w:t>
      </w:r>
      <w:r>
        <w:rPr>
          <w:rStyle w:val="27"/>
          <w:rFonts w:hint="eastAsia" w:ascii="仿宋" w:hAnsi="仿宋" w:eastAsia="仿宋"/>
          <w:color w:val="auto"/>
          <w:sz w:val="24"/>
          <w:szCs w:val="24"/>
        </w:rPr>
        <w:fldChar w:fldCharType="end"/>
      </w:r>
      <w:r>
        <w:rPr>
          <w:rFonts w:hint="eastAsia" w:ascii="仿宋" w:hAnsi="仿宋" w:eastAsia="仿宋"/>
          <w:color w:val="auto"/>
          <w:sz w:val="24"/>
          <w:szCs w:val="24"/>
        </w:rPr>
        <w:t>。参加本项目的参与人如对</w:t>
      </w:r>
      <w:r>
        <w:rPr>
          <w:rFonts w:hint="eastAsia" w:ascii="仿宋" w:hAnsi="仿宋" w:eastAsia="仿宋"/>
          <w:b/>
          <w:bCs/>
          <w:color w:val="auto"/>
          <w:sz w:val="24"/>
          <w:szCs w:val="24"/>
        </w:rPr>
        <w:t>采购过程和成交结果有异议的，</w:t>
      </w:r>
      <w:bookmarkEnd w:id="49"/>
      <w:r>
        <w:rPr>
          <w:rFonts w:hint="eastAsia" w:ascii="仿宋" w:hAnsi="仿宋" w:eastAsia="仿宋"/>
          <w:color w:val="auto"/>
          <w:sz w:val="24"/>
          <w:szCs w:val="24"/>
        </w:rPr>
        <w:t>请以书面形式（有效签署的原件并加盖公章），并附有相关的证据材料，提交至集团内控部。</w:t>
      </w:r>
    </w:p>
    <w:p>
      <w:pPr>
        <w:widowControl w:val="0"/>
        <w:tabs>
          <w:tab w:val="left" w:pos="839"/>
        </w:tabs>
        <w:spacing w:after="0" w:line="460" w:lineRule="exact"/>
        <w:ind w:left="839"/>
        <w:rPr>
          <w:rFonts w:ascii="仿宋" w:hAnsi="仿宋" w:eastAsia="仿宋"/>
          <w:color w:val="auto"/>
          <w:sz w:val="24"/>
          <w:szCs w:val="24"/>
        </w:rPr>
      </w:pPr>
      <w:r>
        <w:rPr>
          <w:rFonts w:hint="eastAsia" w:ascii="仿宋" w:hAnsi="仿宋" w:eastAsia="仿宋"/>
          <w:color w:val="auto"/>
          <w:sz w:val="24"/>
          <w:szCs w:val="24"/>
        </w:rPr>
        <w:t>投诉受理部门：中教集团内控部，投诉电话： 0791-88106510 /0791-88102608</w:t>
      </w:r>
    </w:p>
    <w:p>
      <w:pPr>
        <w:widowControl w:val="0"/>
        <w:tabs>
          <w:tab w:val="left" w:pos="839"/>
        </w:tabs>
        <w:spacing w:after="0" w:line="460" w:lineRule="exact"/>
        <w:ind w:left="420"/>
        <w:rPr>
          <w:rFonts w:ascii="仿宋" w:hAnsi="仿宋" w:eastAsia="仿宋"/>
          <w:b/>
          <w:bCs/>
          <w:color w:val="auto"/>
          <w:sz w:val="24"/>
          <w:szCs w:val="24"/>
        </w:rPr>
      </w:pPr>
      <w:r>
        <w:rPr>
          <w:rFonts w:hint="eastAsia" w:ascii="仿宋" w:hAnsi="仿宋" w:eastAsia="仿宋"/>
          <w:color w:val="auto"/>
          <w:sz w:val="24"/>
          <w:szCs w:val="24"/>
        </w:rPr>
        <w:t>二、参与人须知</w:t>
      </w:r>
    </w:p>
    <w:p>
      <w:pPr>
        <w:widowControl w:val="0"/>
        <w:numPr>
          <w:ilvl w:val="1"/>
          <w:numId w:val="3"/>
        </w:numPr>
        <w:spacing w:after="0" w:line="5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本项目应标时须带样品现场评审</w:t>
      </w:r>
      <w:r>
        <w:rPr>
          <w:rFonts w:hint="eastAsia" w:ascii="仿宋" w:hAnsi="仿宋" w:eastAsia="仿宋"/>
          <w:color w:val="auto"/>
          <w:sz w:val="24"/>
          <w:szCs w:val="24"/>
          <w:highlight w:val="none"/>
          <w:lang w:eastAsia="zh-CN"/>
        </w:rPr>
        <w:t>；</w:t>
      </w:r>
    </w:p>
    <w:p>
      <w:pPr>
        <w:widowControl w:val="0"/>
        <w:numPr>
          <w:ilvl w:val="1"/>
          <w:numId w:val="3"/>
        </w:numPr>
        <w:spacing w:after="0" w:line="500" w:lineRule="exact"/>
        <w:rPr>
          <w:rFonts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评审地点：广东白云学院北校区；</w:t>
      </w:r>
    </w:p>
    <w:p>
      <w:pPr>
        <w:widowControl w:val="0"/>
        <w:numPr>
          <w:ilvl w:val="1"/>
          <w:numId w:val="3"/>
        </w:numPr>
        <w:spacing w:after="0" w:line="500" w:lineRule="exact"/>
        <w:rPr>
          <w:rFonts w:ascii="仿宋" w:hAnsi="仿宋" w:eastAsia="仿宋"/>
          <w:color w:val="auto"/>
          <w:sz w:val="24"/>
          <w:szCs w:val="24"/>
          <w:highlight w:val="none"/>
        </w:rPr>
      </w:pPr>
      <w:r>
        <w:rPr>
          <w:rFonts w:hint="eastAsia" w:ascii="仿宋" w:hAnsi="仿宋" w:eastAsia="仿宋"/>
          <w:color w:val="auto"/>
          <w:sz w:val="24"/>
          <w:szCs w:val="24"/>
        </w:rPr>
        <w:t>所有</w:t>
      </w:r>
      <w:r>
        <w:rPr>
          <w:rFonts w:hint="eastAsia" w:ascii="仿宋" w:hAnsi="仿宋" w:eastAsia="仿宋"/>
          <w:color w:val="auto"/>
          <w:sz w:val="24"/>
          <w:szCs w:val="24"/>
          <w:lang w:val="en-US" w:eastAsia="zh-CN"/>
        </w:rPr>
        <w:t>物品</w:t>
      </w:r>
      <w:r>
        <w:rPr>
          <w:rFonts w:hint="eastAsia" w:ascii="仿宋" w:hAnsi="仿宋" w:eastAsia="仿宋"/>
          <w:color w:val="auto"/>
          <w:sz w:val="24"/>
          <w:szCs w:val="24"/>
        </w:rPr>
        <w:t>均以人民币报价；所报价格应为单类物品单价，校方有权选择其中一家公司</w:t>
      </w:r>
      <w:r>
        <w:rPr>
          <w:rFonts w:hint="eastAsia" w:ascii="仿宋" w:hAnsi="仿宋" w:eastAsia="仿宋"/>
          <w:color w:val="auto"/>
          <w:sz w:val="24"/>
          <w:szCs w:val="24"/>
          <w:highlight w:val="none"/>
        </w:rPr>
        <w:t>一个产品，由此组合。如货期不能满足，允许报价缺项。</w:t>
      </w:r>
    </w:p>
    <w:p>
      <w:pPr>
        <w:widowControl w:val="0"/>
        <w:numPr>
          <w:ilvl w:val="1"/>
          <w:numId w:val="3"/>
        </w:numPr>
        <w:spacing w:after="0" w:line="5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被选物品需同时配送到中教集团广东四校各个校区（广东白云学院-江高、钟落潭校区；广州市白云工商技师学院-江高校区；广州应用科技学院-增城、肇庆校区；广州松田职业学院-增城校区）。</w:t>
      </w:r>
    </w:p>
    <w:p>
      <w:pPr>
        <w:widowControl w:val="0"/>
        <w:numPr>
          <w:ilvl w:val="1"/>
          <w:numId w:val="3"/>
        </w:numPr>
        <w:spacing w:after="0" w:line="5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被选</w:t>
      </w:r>
      <w:r>
        <w:rPr>
          <w:rFonts w:hint="eastAsia" w:ascii="仿宋" w:hAnsi="仿宋" w:eastAsia="仿宋"/>
          <w:color w:val="auto"/>
          <w:sz w:val="24"/>
          <w:szCs w:val="24"/>
          <w:highlight w:val="none"/>
          <w:lang w:val="en-US" w:eastAsia="zh-CN"/>
        </w:rPr>
        <w:t>物品</w:t>
      </w:r>
      <w:r>
        <w:rPr>
          <w:rFonts w:hint="eastAsia" w:ascii="仿宋" w:hAnsi="仿宋" w:eastAsia="仿宋"/>
          <w:color w:val="auto"/>
          <w:sz w:val="24"/>
          <w:szCs w:val="24"/>
          <w:highlight w:val="none"/>
        </w:rPr>
        <w:t>须在2022年9月5日前全部配送到广东四校各个校区。</w:t>
      </w:r>
    </w:p>
    <w:p>
      <w:pPr>
        <w:widowControl w:val="0"/>
        <w:numPr>
          <w:ilvl w:val="1"/>
          <w:numId w:val="3"/>
        </w:numPr>
        <w:spacing w:after="0" w:line="500" w:lineRule="exact"/>
        <w:rPr>
          <w:rFonts w:ascii="仿宋" w:hAnsi="仿宋" w:eastAsia="仿宋"/>
          <w:color w:val="auto"/>
          <w:sz w:val="24"/>
          <w:szCs w:val="24"/>
        </w:rPr>
      </w:pPr>
      <w:r>
        <w:rPr>
          <w:rFonts w:hint="eastAsia" w:ascii="仿宋" w:hAnsi="仿宋" w:eastAsia="仿宋"/>
          <w:color w:val="auto"/>
          <w:sz w:val="24"/>
          <w:szCs w:val="24"/>
        </w:rPr>
        <w:t>报价响应文件</w:t>
      </w:r>
      <w:r>
        <w:rPr>
          <w:rFonts w:ascii="仿宋" w:hAnsi="仿宋" w:eastAsia="仿宋"/>
          <w:color w:val="auto"/>
          <w:sz w:val="24"/>
          <w:szCs w:val="24"/>
        </w:rPr>
        <w:t>必须用A4幅面纸张打印</w:t>
      </w:r>
      <w:r>
        <w:rPr>
          <w:rFonts w:hint="eastAsia" w:ascii="仿宋" w:hAnsi="仿宋" w:eastAsia="仿宋"/>
          <w:color w:val="auto"/>
          <w:sz w:val="24"/>
          <w:szCs w:val="24"/>
        </w:rPr>
        <w:t>，须由参与人填写并加盖公章；</w:t>
      </w:r>
    </w:p>
    <w:p>
      <w:pPr>
        <w:widowControl w:val="0"/>
        <w:numPr>
          <w:ilvl w:val="1"/>
          <w:numId w:val="3"/>
        </w:numPr>
        <w:spacing w:after="0" w:line="500" w:lineRule="exact"/>
        <w:rPr>
          <w:rFonts w:ascii="仿宋" w:hAnsi="仿宋" w:eastAsia="仿宋"/>
          <w:color w:val="auto"/>
          <w:sz w:val="24"/>
          <w:szCs w:val="24"/>
        </w:rPr>
      </w:pPr>
      <w:r>
        <w:rPr>
          <w:rFonts w:hint="eastAsia" w:ascii="仿宋" w:hAnsi="仿宋" w:eastAsia="仿宋"/>
          <w:color w:val="auto"/>
          <w:sz w:val="24"/>
          <w:szCs w:val="24"/>
        </w:rPr>
        <w:t>报价响应文件用不退色墨水书写或打印，因字迹潦草或表达不清所引起的后果由参与人自负；</w:t>
      </w:r>
    </w:p>
    <w:p>
      <w:pPr>
        <w:widowControl w:val="0"/>
        <w:numPr>
          <w:ilvl w:val="1"/>
          <w:numId w:val="3"/>
        </w:numPr>
        <w:spacing w:after="0" w:line="500" w:lineRule="exact"/>
        <w:rPr>
          <w:rFonts w:ascii="仿宋" w:hAnsi="仿宋" w:eastAsia="仿宋"/>
          <w:color w:val="auto"/>
          <w:sz w:val="24"/>
          <w:szCs w:val="24"/>
        </w:rPr>
      </w:pPr>
      <w:r>
        <w:rPr>
          <w:rFonts w:hint="eastAsia" w:ascii="仿宋" w:hAnsi="仿宋" w:eastAsia="仿宋"/>
          <w:color w:val="auto"/>
          <w:sz w:val="24"/>
          <w:szCs w:val="24"/>
        </w:rPr>
        <w:t>报价响应文件及所有相关资料需同时进行密封处理，并在密封处加盖公章，未做密封处理及未加盖公章的视为无效报价；</w:t>
      </w:r>
    </w:p>
    <w:p>
      <w:pPr>
        <w:widowControl w:val="0"/>
        <w:numPr>
          <w:ilvl w:val="1"/>
          <w:numId w:val="3"/>
        </w:numPr>
        <w:spacing w:after="0" w:line="500" w:lineRule="exact"/>
        <w:rPr>
          <w:rFonts w:hint="eastAsia" w:ascii="仿宋" w:hAnsi="仿宋" w:eastAsia="仿宋"/>
          <w:color w:val="auto"/>
          <w:sz w:val="24"/>
          <w:szCs w:val="24"/>
        </w:rPr>
      </w:pPr>
      <w:r>
        <w:rPr>
          <w:rFonts w:hint="eastAsia" w:ascii="仿宋" w:hAnsi="仿宋" w:eastAsia="仿宋"/>
          <w:color w:val="auto"/>
          <w:sz w:val="24"/>
          <w:szCs w:val="24"/>
        </w:rPr>
        <w:t>一个参与人只能提交一个报价响应文件。但如果参与人之间存在下列互为关联关系情形之一的，不得同时参加本项目报价：</w:t>
      </w:r>
    </w:p>
    <w:p>
      <w:pPr>
        <w:keepNext w:val="0"/>
        <w:keepLines w:val="0"/>
        <w:pageBreakBefore w:val="0"/>
        <w:widowControl w:val="0"/>
        <w:numPr>
          <w:ilvl w:val="0"/>
          <w:numId w:val="4"/>
        </w:numPr>
        <w:kinsoku/>
        <w:wordWrap/>
        <w:overflowPunct/>
        <w:topLinePunct w:val="0"/>
        <w:autoSpaceDE/>
        <w:autoSpaceDN/>
        <w:bidi w:val="0"/>
        <w:adjustRightInd/>
        <w:snapToGrid/>
        <w:spacing w:after="0" w:line="500" w:lineRule="exact"/>
        <w:ind w:left="1195" w:leftChars="350" w:hanging="425" w:firstLineChars="0"/>
        <w:textAlignment w:val="auto"/>
        <w:rPr>
          <w:rFonts w:hint="eastAsia" w:ascii="仿宋" w:hAnsi="仿宋" w:eastAsia="仿宋"/>
          <w:color w:val="auto"/>
          <w:sz w:val="24"/>
          <w:szCs w:val="24"/>
        </w:rPr>
      </w:pPr>
      <w:r>
        <w:rPr>
          <w:rFonts w:hint="eastAsia" w:ascii="仿宋" w:hAnsi="仿宋" w:eastAsia="仿宋"/>
          <w:color w:val="auto"/>
          <w:sz w:val="24"/>
          <w:szCs w:val="24"/>
        </w:rPr>
        <w:t>法定代表人为同一人的两个及两个以上法人；</w:t>
      </w:r>
    </w:p>
    <w:p>
      <w:pPr>
        <w:keepNext w:val="0"/>
        <w:keepLines w:val="0"/>
        <w:pageBreakBefore w:val="0"/>
        <w:widowControl w:val="0"/>
        <w:numPr>
          <w:ilvl w:val="0"/>
          <w:numId w:val="4"/>
        </w:numPr>
        <w:kinsoku/>
        <w:wordWrap/>
        <w:overflowPunct/>
        <w:topLinePunct w:val="0"/>
        <w:autoSpaceDE/>
        <w:autoSpaceDN/>
        <w:bidi w:val="0"/>
        <w:adjustRightInd/>
        <w:snapToGrid/>
        <w:spacing w:after="0" w:line="500" w:lineRule="exact"/>
        <w:ind w:left="1195" w:leftChars="350" w:hanging="425" w:firstLineChars="0"/>
        <w:textAlignment w:val="auto"/>
        <w:rPr>
          <w:rFonts w:ascii="仿宋" w:hAnsi="仿宋" w:eastAsia="仿宋"/>
          <w:color w:val="auto"/>
          <w:sz w:val="24"/>
          <w:szCs w:val="24"/>
        </w:rPr>
      </w:pPr>
      <w:r>
        <w:rPr>
          <w:rFonts w:hint="eastAsia" w:ascii="仿宋" w:hAnsi="仿宋" w:eastAsia="仿宋"/>
          <w:color w:val="auto"/>
          <w:sz w:val="24"/>
          <w:szCs w:val="24"/>
        </w:rPr>
        <w:t>母公司、直接或间接持股50％及以上的被投资公司;</w:t>
      </w:r>
    </w:p>
    <w:p>
      <w:pPr>
        <w:keepNext w:val="0"/>
        <w:keepLines w:val="0"/>
        <w:pageBreakBefore w:val="0"/>
        <w:widowControl w:val="0"/>
        <w:numPr>
          <w:ilvl w:val="0"/>
          <w:numId w:val="4"/>
        </w:numPr>
        <w:kinsoku/>
        <w:wordWrap/>
        <w:overflowPunct/>
        <w:topLinePunct w:val="0"/>
        <w:autoSpaceDE/>
        <w:autoSpaceDN/>
        <w:bidi w:val="0"/>
        <w:adjustRightInd/>
        <w:snapToGrid/>
        <w:spacing w:after="0" w:line="500" w:lineRule="exact"/>
        <w:ind w:left="1195" w:leftChars="350" w:hanging="425" w:firstLineChars="0"/>
        <w:textAlignment w:val="auto"/>
        <w:rPr>
          <w:rFonts w:ascii="仿宋" w:hAnsi="仿宋" w:eastAsia="仿宋"/>
          <w:color w:val="auto"/>
          <w:sz w:val="24"/>
          <w:szCs w:val="24"/>
        </w:rPr>
      </w:pPr>
      <w:r>
        <w:rPr>
          <w:rFonts w:hint="eastAsia" w:ascii="仿宋" w:hAnsi="仿宋" w:eastAsia="仿宋"/>
          <w:color w:val="auto"/>
          <w:sz w:val="24"/>
          <w:szCs w:val="24"/>
        </w:rPr>
        <w:t>均为同一家母公司直接或间接持股50％及以上的被投资公司。</w:t>
      </w:r>
    </w:p>
    <w:p>
      <w:pPr>
        <w:spacing w:after="0" w:line="500" w:lineRule="exact"/>
        <w:ind w:firstLine="364" w:firstLineChars="152"/>
        <w:jc w:val="left"/>
        <w:rPr>
          <w:rFonts w:hint="eastAsia" w:ascii="仿宋" w:hAnsi="仿宋" w:eastAsia="仿宋"/>
          <w:color w:val="auto"/>
          <w:sz w:val="24"/>
          <w:szCs w:val="24"/>
        </w:rPr>
      </w:pPr>
      <w:r>
        <w:rPr>
          <w:rFonts w:hint="eastAsia" w:ascii="仿宋" w:hAnsi="仿宋" w:eastAsia="仿宋"/>
          <w:color w:val="auto"/>
          <w:sz w:val="24"/>
          <w:szCs w:val="24"/>
        </w:rPr>
        <w:t>三、质量及服务要求</w:t>
      </w:r>
    </w:p>
    <w:p>
      <w:pPr>
        <w:keepNext w:val="0"/>
        <w:keepLines w:val="0"/>
        <w:pageBreakBefore w:val="0"/>
        <w:widowControl w:val="0"/>
        <w:numPr>
          <w:ilvl w:val="0"/>
          <w:numId w:val="5"/>
        </w:numPr>
        <w:kinsoku/>
        <w:wordWrap/>
        <w:overflowPunct/>
        <w:topLinePunct w:val="0"/>
        <w:autoSpaceDE/>
        <w:autoSpaceDN/>
        <w:bidi w:val="0"/>
        <w:adjustRightInd/>
        <w:snapToGrid/>
        <w:spacing w:after="0" w:line="500" w:lineRule="exact"/>
        <w:ind w:left="1305" w:leftChars="400" w:hanging="425" w:firstLineChars="0"/>
        <w:textAlignment w:val="auto"/>
        <w:rPr>
          <w:rFonts w:hint="eastAsia" w:ascii="仿宋" w:hAnsi="仿宋" w:eastAsia="仿宋"/>
          <w:color w:val="auto"/>
          <w:sz w:val="24"/>
          <w:szCs w:val="24"/>
          <w:highlight w:val="none"/>
        </w:rPr>
      </w:pPr>
      <w:r>
        <w:rPr>
          <w:rFonts w:hint="eastAsia" w:ascii="仿宋" w:hAnsi="仿宋" w:eastAsia="仿宋"/>
          <w:color w:val="auto"/>
          <w:sz w:val="24"/>
          <w:szCs w:val="24"/>
        </w:rPr>
        <w:t>要</w:t>
      </w:r>
      <w:r>
        <w:rPr>
          <w:rFonts w:hint="eastAsia" w:ascii="仿宋" w:hAnsi="仿宋" w:eastAsia="仿宋"/>
          <w:color w:val="auto"/>
          <w:sz w:val="24"/>
          <w:szCs w:val="24"/>
          <w:highlight w:val="none"/>
        </w:rPr>
        <w:t>求对所提供的</w:t>
      </w:r>
      <w:r>
        <w:rPr>
          <w:rFonts w:hint="eastAsia" w:ascii="仿宋" w:hAnsi="仿宋" w:eastAsia="仿宋"/>
          <w:color w:val="auto"/>
          <w:sz w:val="24"/>
          <w:szCs w:val="24"/>
          <w:highlight w:val="none"/>
          <w:lang w:val="en-US" w:eastAsia="zh-CN"/>
        </w:rPr>
        <w:t>食</w:t>
      </w:r>
      <w:r>
        <w:rPr>
          <w:rFonts w:hint="eastAsia" w:ascii="仿宋" w:hAnsi="仿宋" w:eastAsia="仿宋"/>
          <w:color w:val="auto"/>
          <w:sz w:val="24"/>
          <w:szCs w:val="24"/>
          <w:highlight w:val="none"/>
        </w:rPr>
        <w:t>品免费送货上门；</w:t>
      </w:r>
    </w:p>
    <w:p>
      <w:pPr>
        <w:keepNext w:val="0"/>
        <w:keepLines w:val="0"/>
        <w:pageBreakBefore w:val="0"/>
        <w:widowControl w:val="0"/>
        <w:numPr>
          <w:ilvl w:val="0"/>
          <w:numId w:val="5"/>
        </w:numPr>
        <w:kinsoku/>
        <w:wordWrap/>
        <w:overflowPunct/>
        <w:topLinePunct w:val="0"/>
        <w:autoSpaceDE/>
        <w:autoSpaceDN/>
        <w:bidi w:val="0"/>
        <w:adjustRightInd/>
        <w:snapToGrid/>
        <w:spacing w:after="0" w:line="500" w:lineRule="exact"/>
        <w:ind w:left="1305" w:leftChars="400" w:hanging="425" w:firstLineChars="0"/>
        <w:textAlignment w:val="auto"/>
        <w:rPr>
          <w:rFonts w:hint="eastAsia" w:ascii="仿宋" w:hAnsi="仿宋" w:eastAsia="仿宋"/>
          <w:color w:val="auto"/>
          <w:sz w:val="24"/>
          <w:szCs w:val="24"/>
          <w:highlight w:val="none"/>
        </w:rPr>
      </w:pPr>
      <w:r>
        <w:rPr>
          <w:rFonts w:hint="eastAsia" w:ascii="仿宋" w:hAnsi="仿宋" w:eastAsia="仿宋"/>
          <w:color w:val="auto"/>
          <w:sz w:val="24"/>
          <w:szCs w:val="24"/>
          <w:highlight w:val="none"/>
        </w:rPr>
        <w:t>要求对所提供的</w:t>
      </w:r>
      <w:r>
        <w:rPr>
          <w:rFonts w:hint="eastAsia" w:ascii="仿宋" w:hAnsi="仿宋" w:eastAsia="仿宋"/>
          <w:color w:val="auto"/>
          <w:sz w:val="24"/>
          <w:szCs w:val="24"/>
          <w:highlight w:val="none"/>
          <w:lang w:val="en-US" w:eastAsia="zh-CN"/>
        </w:rPr>
        <w:t>食品</w:t>
      </w:r>
      <w:r>
        <w:rPr>
          <w:rFonts w:hint="eastAsia" w:ascii="仿宋" w:hAnsi="仿宋" w:eastAsia="仿宋"/>
          <w:color w:val="auto"/>
          <w:sz w:val="24"/>
          <w:szCs w:val="24"/>
          <w:highlight w:val="none"/>
        </w:rPr>
        <w:t>质量承诺无理由退换，并注明质保期限</w:t>
      </w:r>
      <w:r>
        <w:rPr>
          <w:rFonts w:hint="eastAsia" w:ascii="仿宋" w:hAnsi="仿宋" w:eastAsia="仿宋"/>
          <w:color w:val="auto"/>
          <w:sz w:val="24"/>
          <w:szCs w:val="24"/>
          <w:highlight w:val="none"/>
          <w:lang w:eastAsia="zh-CN"/>
        </w:rPr>
        <w:t>；</w:t>
      </w:r>
    </w:p>
    <w:p>
      <w:pPr>
        <w:keepNext w:val="0"/>
        <w:keepLines w:val="0"/>
        <w:pageBreakBefore w:val="0"/>
        <w:widowControl w:val="0"/>
        <w:numPr>
          <w:ilvl w:val="0"/>
          <w:numId w:val="5"/>
        </w:numPr>
        <w:kinsoku/>
        <w:wordWrap/>
        <w:overflowPunct/>
        <w:topLinePunct w:val="0"/>
        <w:autoSpaceDE/>
        <w:autoSpaceDN/>
        <w:bidi w:val="0"/>
        <w:adjustRightInd/>
        <w:snapToGrid/>
        <w:spacing w:after="0" w:line="500" w:lineRule="exact"/>
        <w:ind w:left="1305" w:leftChars="400" w:hanging="425" w:firstLineChars="0"/>
        <w:textAlignment w:val="auto"/>
        <w:rPr>
          <w:rFonts w:hint="eastAsia"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关于食品的生产日期必须是最新生产日期(月饼必须是2022年8月至9月初，其余食品是2022年7月底至9月初)。</w:t>
      </w:r>
    </w:p>
    <w:p>
      <w:pPr>
        <w:spacing w:after="0" w:line="500" w:lineRule="exact"/>
        <w:ind w:firstLine="364" w:firstLineChars="152"/>
        <w:jc w:val="left"/>
        <w:rPr>
          <w:rFonts w:ascii="仿宋" w:hAnsi="仿宋" w:eastAsia="仿宋"/>
          <w:color w:val="auto"/>
          <w:sz w:val="24"/>
          <w:szCs w:val="24"/>
        </w:rPr>
      </w:pPr>
      <w:r>
        <w:rPr>
          <w:rFonts w:hint="eastAsia" w:ascii="仿宋" w:hAnsi="仿宋" w:eastAsia="仿宋"/>
          <w:color w:val="auto"/>
          <w:sz w:val="24"/>
          <w:szCs w:val="24"/>
        </w:rPr>
        <w:t>四、确定成交参与人标准及原则：</w:t>
      </w:r>
    </w:p>
    <w:p>
      <w:pPr>
        <w:pStyle w:val="54"/>
        <w:numPr>
          <w:ilvl w:val="0"/>
          <w:numId w:val="6"/>
        </w:numPr>
        <w:spacing w:after="0" w:line="500" w:lineRule="exact"/>
        <w:ind w:left="851" w:hanging="425" w:firstLineChars="0"/>
        <w:jc w:val="left"/>
        <w:rPr>
          <w:rFonts w:ascii="仿宋" w:hAnsi="仿宋" w:eastAsia="仿宋"/>
          <w:color w:val="auto"/>
          <w:sz w:val="24"/>
          <w:szCs w:val="24"/>
        </w:rPr>
      </w:pPr>
      <w:r>
        <w:rPr>
          <w:rFonts w:hint="eastAsia" w:ascii="仿宋" w:hAnsi="仿宋" w:eastAsia="仿宋"/>
          <w:color w:val="auto"/>
          <w:sz w:val="24"/>
          <w:szCs w:val="24"/>
        </w:rPr>
        <w:t>本项目为自有资金而非财政性资金采购，采购人按企业内部规定的标准进行评定</w:t>
      </w:r>
      <w:r>
        <w:rPr>
          <w:rFonts w:ascii="仿宋" w:hAnsi="仿宋" w:eastAsia="仿宋"/>
          <w:color w:val="auto"/>
          <w:sz w:val="24"/>
          <w:szCs w:val="24"/>
        </w:rPr>
        <w:t xml:space="preserve"> </w:t>
      </w:r>
      <w:r>
        <w:rPr>
          <w:rFonts w:hint="eastAsia" w:ascii="仿宋" w:hAnsi="仿宋" w:eastAsia="仿宋"/>
          <w:color w:val="auto"/>
          <w:sz w:val="24"/>
          <w:szCs w:val="24"/>
        </w:rPr>
        <w:t>。</w:t>
      </w:r>
    </w:p>
    <w:p>
      <w:pPr>
        <w:pStyle w:val="54"/>
        <w:numPr>
          <w:ilvl w:val="0"/>
          <w:numId w:val="6"/>
        </w:numPr>
        <w:spacing w:after="0" w:line="500" w:lineRule="exact"/>
        <w:ind w:left="851" w:hanging="425" w:firstLineChars="0"/>
        <w:jc w:val="left"/>
        <w:rPr>
          <w:rFonts w:ascii="仿宋" w:hAnsi="仿宋" w:eastAsia="仿宋"/>
          <w:color w:val="auto"/>
          <w:sz w:val="24"/>
          <w:szCs w:val="24"/>
        </w:rPr>
      </w:pPr>
      <w:r>
        <w:rPr>
          <w:rFonts w:hint="eastAsia" w:ascii="仿宋" w:hAnsi="仿宋" w:eastAsia="仿宋"/>
          <w:color w:val="auto"/>
          <w:sz w:val="24"/>
          <w:szCs w:val="24"/>
        </w:rPr>
        <w:t>参与人所投</w:t>
      </w:r>
      <w:r>
        <w:rPr>
          <w:rFonts w:hint="eastAsia" w:ascii="仿宋" w:hAnsi="仿宋" w:eastAsia="仿宋"/>
          <w:color w:val="auto"/>
          <w:sz w:val="24"/>
          <w:szCs w:val="24"/>
          <w:lang w:val="en-US" w:eastAsia="zh-CN"/>
        </w:rPr>
        <w:t>产</w:t>
      </w:r>
      <w:r>
        <w:rPr>
          <w:rFonts w:hint="eastAsia" w:ascii="仿宋" w:hAnsi="仿宋" w:eastAsia="仿宋"/>
          <w:color w:val="auto"/>
          <w:sz w:val="24"/>
          <w:szCs w:val="24"/>
        </w:rPr>
        <w:t>品符合需求、质量和服务等的要求,经过磋商所报价格为合理价格的参与人为成交参与人。</w:t>
      </w:r>
    </w:p>
    <w:p>
      <w:pPr>
        <w:pStyle w:val="54"/>
        <w:numPr>
          <w:ilvl w:val="0"/>
          <w:numId w:val="6"/>
        </w:numPr>
        <w:spacing w:after="0" w:line="500" w:lineRule="exact"/>
        <w:ind w:left="851" w:hanging="425" w:firstLineChars="0"/>
        <w:jc w:val="left"/>
        <w:rPr>
          <w:rFonts w:ascii="仿宋" w:hAnsi="仿宋" w:eastAsia="仿宋"/>
          <w:color w:val="auto"/>
          <w:sz w:val="24"/>
          <w:szCs w:val="24"/>
        </w:rPr>
      </w:pPr>
      <w:r>
        <w:rPr>
          <w:rFonts w:hint="eastAsia" w:ascii="仿宋" w:hAnsi="仿宋" w:eastAsia="仿宋"/>
          <w:color w:val="auto"/>
          <w:sz w:val="24"/>
          <w:szCs w:val="24"/>
        </w:rPr>
        <w:t>最低报价不作为成交的保证。</w:t>
      </w:r>
    </w:p>
    <w:p>
      <w:pPr>
        <w:pStyle w:val="54"/>
        <w:spacing w:after="0" w:line="500" w:lineRule="exact"/>
        <w:ind w:left="851" w:firstLine="0" w:firstLineChars="0"/>
        <w:jc w:val="left"/>
        <w:rPr>
          <w:rFonts w:ascii="仿宋" w:hAnsi="仿宋" w:eastAsia="仿宋"/>
          <w:color w:val="auto"/>
          <w:sz w:val="24"/>
          <w:szCs w:val="24"/>
        </w:rPr>
      </w:pPr>
    </w:p>
    <w:p>
      <w:pPr>
        <w:pStyle w:val="54"/>
        <w:spacing w:after="0" w:line="500" w:lineRule="exact"/>
        <w:ind w:left="851" w:firstLine="0" w:firstLineChars="0"/>
        <w:jc w:val="left"/>
        <w:rPr>
          <w:rFonts w:ascii="仿宋" w:hAnsi="仿宋" w:eastAsia="仿宋"/>
          <w:color w:val="auto"/>
          <w:sz w:val="24"/>
          <w:szCs w:val="24"/>
        </w:rPr>
      </w:pPr>
    </w:p>
    <w:p>
      <w:pPr>
        <w:pStyle w:val="54"/>
        <w:spacing w:after="0" w:line="500" w:lineRule="exact"/>
        <w:ind w:left="851" w:firstLine="0" w:firstLineChars="0"/>
        <w:jc w:val="left"/>
        <w:rPr>
          <w:rFonts w:ascii="仿宋" w:hAnsi="仿宋" w:eastAsia="仿宋"/>
          <w:color w:val="auto"/>
          <w:sz w:val="24"/>
          <w:szCs w:val="24"/>
        </w:rPr>
      </w:pPr>
    </w:p>
    <w:p>
      <w:pPr>
        <w:pStyle w:val="54"/>
        <w:spacing w:after="0" w:line="500" w:lineRule="exact"/>
        <w:ind w:left="851" w:firstLine="0" w:firstLineChars="0"/>
        <w:jc w:val="left"/>
        <w:rPr>
          <w:rFonts w:ascii="仿宋" w:hAnsi="仿宋" w:eastAsia="仿宋"/>
          <w:color w:val="auto"/>
          <w:sz w:val="24"/>
          <w:szCs w:val="24"/>
        </w:rPr>
      </w:pPr>
    </w:p>
    <w:p>
      <w:pPr>
        <w:pStyle w:val="54"/>
        <w:spacing w:after="0" w:line="500" w:lineRule="exact"/>
        <w:jc w:val="right"/>
        <w:rPr>
          <w:rFonts w:hint="default" w:ascii="仿宋" w:hAnsi="仿宋" w:eastAsia="仿宋"/>
          <w:color w:val="auto"/>
          <w:sz w:val="24"/>
          <w:szCs w:val="24"/>
          <w:highlight w:val="yellow"/>
          <w:lang w:val="en-US" w:eastAsia="zh-CN"/>
        </w:rPr>
      </w:pPr>
    </w:p>
    <w:p>
      <w:pPr>
        <w:pStyle w:val="54"/>
        <w:spacing w:after="0" w:line="500" w:lineRule="exact"/>
        <w:ind w:left="7371" w:firstLine="0" w:firstLineChars="0"/>
        <w:jc w:val="right"/>
        <w:rPr>
          <w:rFonts w:hint="eastAsia"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2022</w:t>
      </w:r>
      <w:r>
        <w:rPr>
          <w:rFonts w:hint="eastAsia" w:ascii="仿宋" w:hAnsi="仿宋" w:eastAsia="仿宋"/>
          <w:color w:val="auto"/>
          <w:sz w:val="24"/>
          <w:szCs w:val="24"/>
          <w:highlight w:val="none"/>
        </w:rPr>
        <w:t>年</w:t>
      </w:r>
      <w:r>
        <w:rPr>
          <w:rFonts w:hint="eastAsia" w:ascii="仿宋" w:hAnsi="仿宋" w:eastAsia="仿宋"/>
          <w:color w:val="auto"/>
          <w:sz w:val="24"/>
          <w:szCs w:val="24"/>
          <w:highlight w:val="none"/>
          <w:lang w:val="en-US" w:eastAsia="zh-CN"/>
        </w:rPr>
        <w:t>08</w:t>
      </w:r>
      <w:r>
        <w:rPr>
          <w:rFonts w:hint="eastAsia" w:ascii="仿宋" w:hAnsi="仿宋" w:eastAsia="仿宋"/>
          <w:color w:val="auto"/>
          <w:sz w:val="24"/>
          <w:szCs w:val="24"/>
          <w:highlight w:val="none"/>
        </w:rPr>
        <w:t>月</w:t>
      </w:r>
      <w:r>
        <w:rPr>
          <w:rFonts w:hint="eastAsia" w:ascii="仿宋" w:hAnsi="仿宋" w:eastAsia="仿宋"/>
          <w:color w:val="auto"/>
          <w:sz w:val="24"/>
          <w:szCs w:val="24"/>
          <w:highlight w:val="none"/>
          <w:lang w:val="en-US" w:eastAsia="zh-CN"/>
        </w:rPr>
        <w:t>14</w:t>
      </w:r>
      <w:r>
        <w:rPr>
          <w:rFonts w:hint="eastAsia" w:ascii="仿宋" w:hAnsi="仿宋" w:eastAsia="仿宋"/>
          <w:color w:val="auto"/>
          <w:sz w:val="24"/>
          <w:szCs w:val="24"/>
          <w:highlight w:val="none"/>
        </w:rPr>
        <w:t>日</w:t>
      </w:r>
    </w:p>
    <w:p>
      <w:pPr>
        <w:pStyle w:val="54"/>
        <w:spacing w:after="0" w:line="500" w:lineRule="exact"/>
        <w:ind w:left="851" w:firstLine="0" w:firstLineChars="0"/>
        <w:jc w:val="both"/>
        <w:rPr>
          <w:rFonts w:hint="eastAsia" w:ascii="仿宋" w:hAnsi="仿宋" w:eastAsia="仿宋"/>
          <w:b/>
          <w:color w:val="auto"/>
          <w:sz w:val="44"/>
          <w:szCs w:val="44"/>
          <w:highlight w:val="none"/>
        </w:rPr>
      </w:pPr>
      <w:r>
        <w:rPr>
          <w:rFonts w:ascii="仿宋" w:hAnsi="仿宋" w:eastAsia="仿宋"/>
          <w:color w:val="auto"/>
          <w:sz w:val="28"/>
          <w:szCs w:val="28"/>
        </w:rPr>
        <w:br w:type="page"/>
      </w:r>
      <w:r>
        <w:rPr>
          <w:rFonts w:hint="eastAsia" w:ascii="仿宋" w:hAnsi="仿宋" w:eastAsia="仿宋"/>
          <w:color w:val="auto"/>
          <w:sz w:val="28"/>
          <w:szCs w:val="28"/>
          <w:lang w:val="en-US" w:eastAsia="zh-CN"/>
        </w:rPr>
        <w:t xml:space="preserve">    </w:t>
      </w:r>
      <w:r>
        <w:rPr>
          <w:rFonts w:hint="eastAsia" w:ascii="仿宋" w:hAnsi="仿宋" w:eastAsia="仿宋"/>
          <w:color w:val="auto"/>
          <w:sz w:val="28"/>
          <w:szCs w:val="28"/>
          <w:highlight w:val="none"/>
          <w:lang w:val="en-US" w:eastAsia="zh-CN"/>
        </w:rPr>
        <w:t xml:space="preserve">           </w:t>
      </w:r>
      <w:r>
        <w:rPr>
          <w:rFonts w:hint="eastAsia" w:ascii="仿宋" w:hAnsi="仿宋" w:eastAsia="仿宋"/>
          <w:b/>
          <w:color w:val="auto"/>
          <w:sz w:val="44"/>
          <w:szCs w:val="44"/>
          <w:highlight w:val="none"/>
        </w:rPr>
        <w:t>公开询价货物一览表</w:t>
      </w:r>
      <w:bookmarkEnd w:id="0"/>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b/>
          <w:bCs/>
          <w:i w:val="0"/>
          <w:iCs w:val="0"/>
          <w:color w:val="auto"/>
          <w:kern w:val="0"/>
          <w:sz w:val="32"/>
          <w:szCs w:val="32"/>
          <w:highlight w:val="none"/>
          <w:u w:val="none"/>
          <w:lang w:val="en-US" w:eastAsia="zh-CN" w:bidi="ar"/>
        </w:rPr>
      </w:pPr>
      <w:r>
        <w:rPr>
          <w:rFonts w:hint="eastAsia" w:ascii="宋体" w:hAnsi="宋体" w:eastAsia="宋体" w:cs="宋体"/>
          <w:b/>
          <w:bCs/>
          <w:i w:val="0"/>
          <w:iCs w:val="0"/>
          <w:color w:val="auto"/>
          <w:kern w:val="0"/>
          <w:sz w:val="32"/>
          <w:szCs w:val="32"/>
          <w:highlight w:val="none"/>
          <w:u w:val="none"/>
          <w:lang w:val="en-US" w:eastAsia="zh-CN" w:bidi="ar"/>
        </w:rPr>
        <w:t>中教集团广东四校关于中秋教工慰问品采购清单</w:t>
      </w:r>
    </w:p>
    <w:p>
      <w:pPr>
        <w:pStyle w:val="54"/>
        <w:keepNext w:val="0"/>
        <w:keepLines w:val="0"/>
        <w:pageBreakBefore w:val="0"/>
        <w:widowControl/>
        <w:kinsoku/>
        <w:wordWrap/>
        <w:overflowPunct/>
        <w:topLinePunct w:val="0"/>
        <w:autoSpaceDE/>
        <w:autoSpaceDN/>
        <w:bidi w:val="0"/>
        <w:adjustRightInd/>
        <w:snapToGrid/>
        <w:spacing w:after="0" w:line="240" w:lineRule="auto"/>
        <w:ind w:left="851" w:firstLine="0" w:firstLineChars="0"/>
        <w:jc w:val="right"/>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val="en-US" w:eastAsia="zh-CN"/>
        </w:rPr>
        <w:t>单位：元</w:t>
      </w:r>
    </w:p>
    <w:tbl>
      <w:tblPr>
        <w:tblStyle w:val="23"/>
        <w:tblpPr w:leftFromText="180" w:rightFromText="180" w:vertAnchor="text" w:tblpXSpec="center" w:tblpY="1"/>
        <w:tblOverlap w:val="never"/>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21"/>
        <w:gridCol w:w="1265"/>
        <w:gridCol w:w="1344"/>
        <w:gridCol w:w="2062"/>
        <w:gridCol w:w="996"/>
        <w:gridCol w:w="1272"/>
        <w:gridCol w:w="928"/>
        <w:gridCol w:w="14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序号</w:t>
            </w:r>
          </w:p>
        </w:tc>
        <w:tc>
          <w:tcPr>
            <w:tcW w:w="632"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产品名称</w:t>
            </w:r>
          </w:p>
        </w:tc>
        <w:tc>
          <w:tcPr>
            <w:tcW w:w="672"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品牌    及规格</w:t>
            </w:r>
          </w:p>
        </w:tc>
        <w:tc>
          <w:tcPr>
            <w:tcW w:w="1031"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auto"/>
                <w:kern w:val="0"/>
                <w:sz w:val="24"/>
                <w:szCs w:val="24"/>
                <w:u w:val="none"/>
                <w:lang w:val="en-US" w:eastAsia="zh-CN" w:bidi="ar"/>
              </w:rPr>
            </w:pPr>
            <w:r>
              <w:rPr>
                <w:rFonts w:hint="eastAsia" w:ascii="宋体" w:hAnsi="宋体" w:eastAsia="宋体" w:cs="宋体"/>
                <w:b/>
                <w:bCs/>
                <w:i w:val="0"/>
                <w:iCs w:val="0"/>
                <w:color w:val="auto"/>
                <w:kern w:val="0"/>
                <w:sz w:val="24"/>
                <w:szCs w:val="24"/>
                <w:u w:val="none"/>
                <w:lang w:val="en-US" w:eastAsia="zh-CN" w:bidi="ar"/>
              </w:rPr>
              <w:t>参考图片</w:t>
            </w:r>
          </w:p>
        </w:tc>
        <w:tc>
          <w:tcPr>
            <w:tcW w:w="49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数量</w:t>
            </w:r>
          </w:p>
        </w:tc>
        <w:tc>
          <w:tcPr>
            <w:tcW w:w="63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单价</w:t>
            </w:r>
          </w:p>
        </w:tc>
        <w:tc>
          <w:tcPr>
            <w:tcW w:w="4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lang w:val="en-US" w:eastAsia="zh-CN"/>
              </w:rPr>
            </w:pPr>
            <w:r>
              <w:rPr>
                <w:rFonts w:hint="eastAsia" w:ascii="宋体" w:hAnsi="宋体" w:eastAsia="宋体" w:cs="宋体"/>
                <w:b/>
                <w:bCs/>
                <w:i w:val="0"/>
                <w:iCs w:val="0"/>
                <w:color w:val="auto"/>
                <w:sz w:val="24"/>
                <w:szCs w:val="24"/>
                <w:u w:val="none"/>
                <w:lang w:val="en-US" w:eastAsia="zh-CN"/>
              </w:rPr>
              <w:t>金额</w:t>
            </w:r>
          </w:p>
        </w:tc>
        <w:tc>
          <w:tcPr>
            <w:tcW w:w="70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到货时间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01" w:hRule="atLeast"/>
          <w:jc w:val="center"/>
        </w:trPr>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32"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挂绿增城 丝苗米</w:t>
            </w:r>
          </w:p>
        </w:tc>
        <w:tc>
          <w:tcPr>
            <w:tcW w:w="672"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挂绿5kg</w:t>
            </w:r>
          </w:p>
        </w:tc>
        <w:tc>
          <w:tcPr>
            <w:tcW w:w="1031"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drawing>
                <wp:inline distT="0" distB="0" distL="114300" distR="114300">
                  <wp:extent cx="1054735" cy="1325880"/>
                  <wp:effectExtent l="0" t="0" r="12065" b="7620"/>
                  <wp:docPr id="143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 name="图片 2"/>
                          <pic:cNvPicPr>
                            <a:picLocks noChangeAspect="1"/>
                          </pic:cNvPicPr>
                        </pic:nvPicPr>
                        <pic:blipFill>
                          <a:blip r:embed="rId15"/>
                          <a:stretch>
                            <a:fillRect/>
                          </a:stretch>
                        </pic:blipFill>
                        <pic:spPr>
                          <a:xfrm>
                            <a:off x="0" y="0"/>
                            <a:ext cx="1054735" cy="1325880"/>
                          </a:xfrm>
                          <a:prstGeom prst="rect">
                            <a:avLst/>
                          </a:prstGeom>
                          <a:noFill/>
                          <a:ln w="9525">
                            <a:noFill/>
                          </a:ln>
                        </pic:spPr>
                      </pic:pic>
                    </a:graphicData>
                  </a:graphic>
                </wp:inline>
              </w:drawing>
            </w:r>
          </w:p>
        </w:tc>
        <w:tc>
          <w:tcPr>
            <w:tcW w:w="498" w:type="pct"/>
            <w:tcBorders>
              <w:tl2br w:val="nil"/>
              <w:tr2bl w:val="nil"/>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2943</w:t>
            </w:r>
          </w:p>
        </w:tc>
        <w:tc>
          <w:tcPr>
            <w:tcW w:w="636" w:type="pct"/>
            <w:tcBorders>
              <w:tl2br w:val="nil"/>
              <w:tr2bl w:val="nil"/>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464" w:type="pct"/>
            <w:tcBorders>
              <w:tl2br w:val="nil"/>
              <w:tr2bl w:val="nil"/>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704"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jc w:val="center"/>
        </w:trPr>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632"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rPr>
              <w:t>鲁花压榨一级花生油</w:t>
            </w:r>
          </w:p>
        </w:tc>
        <w:tc>
          <w:tcPr>
            <w:tcW w:w="672"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rPr>
              <w:t>鲁花1.8L</w:t>
            </w:r>
          </w:p>
        </w:tc>
        <w:tc>
          <w:tcPr>
            <w:tcW w:w="1031"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drawing>
                <wp:inline distT="0" distB="0" distL="114300" distR="114300">
                  <wp:extent cx="988060" cy="1320800"/>
                  <wp:effectExtent l="0" t="0" r="2540" b="0"/>
                  <wp:docPr id="143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 name="图片 3"/>
                          <pic:cNvPicPr>
                            <a:picLocks noChangeAspect="1"/>
                          </pic:cNvPicPr>
                        </pic:nvPicPr>
                        <pic:blipFill>
                          <a:blip r:embed="rId16"/>
                          <a:stretch>
                            <a:fillRect/>
                          </a:stretch>
                        </pic:blipFill>
                        <pic:spPr>
                          <a:xfrm>
                            <a:off x="0" y="0"/>
                            <a:ext cx="988060" cy="1320800"/>
                          </a:xfrm>
                          <a:prstGeom prst="rect">
                            <a:avLst/>
                          </a:prstGeom>
                          <a:noFill/>
                          <a:ln w="9525">
                            <a:noFill/>
                          </a:ln>
                        </pic:spPr>
                      </pic:pic>
                    </a:graphicData>
                  </a:graphic>
                </wp:inline>
              </w:drawing>
            </w:r>
          </w:p>
        </w:tc>
        <w:tc>
          <w:tcPr>
            <w:tcW w:w="498" w:type="pct"/>
            <w:tcBorders>
              <w:tl2br w:val="nil"/>
              <w:tr2bl w:val="nil"/>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2943</w:t>
            </w:r>
          </w:p>
        </w:tc>
        <w:tc>
          <w:tcPr>
            <w:tcW w:w="636" w:type="pct"/>
            <w:tcBorders>
              <w:tl2br w:val="nil"/>
              <w:tr2bl w:val="nil"/>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464" w:type="pct"/>
            <w:tcBorders>
              <w:tl2br w:val="nil"/>
              <w:tr2bl w:val="nil"/>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704"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1" w:hRule="atLeast"/>
          <w:jc w:val="center"/>
        </w:trPr>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632"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天牧利乐钻纯牛奶</w:t>
            </w:r>
          </w:p>
        </w:tc>
        <w:tc>
          <w:tcPr>
            <w:tcW w:w="672"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天牧圣品200ml*20盒</w:t>
            </w:r>
          </w:p>
        </w:tc>
        <w:tc>
          <w:tcPr>
            <w:tcW w:w="1031"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drawing>
                <wp:inline distT="0" distB="0" distL="114300" distR="114300">
                  <wp:extent cx="1116330" cy="1254125"/>
                  <wp:effectExtent l="0" t="0" r="1270" b="3175"/>
                  <wp:docPr id="1437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 name="图片 20"/>
                          <pic:cNvPicPr>
                            <a:picLocks noChangeAspect="1"/>
                          </pic:cNvPicPr>
                        </pic:nvPicPr>
                        <pic:blipFill>
                          <a:blip r:embed="rId17"/>
                          <a:stretch>
                            <a:fillRect/>
                          </a:stretch>
                        </pic:blipFill>
                        <pic:spPr>
                          <a:xfrm>
                            <a:off x="0" y="0"/>
                            <a:ext cx="1116330" cy="1254125"/>
                          </a:xfrm>
                          <a:prstGeom prst="rect">
                            <a:avLst/>
                          </a:prstGeom>
                          <a:noFill/>
                          <a:ln w="9525">
                            <a:noFill/>
                          </a:ln>
                        </pic:spPr>
                      </pic:pic>
                    </a:graphicData>
                  </a:graphic>
                </wp:inline>
              </w:drawing>
            </w:r>
          </w:p>
        </w:tc>
        <w:tc>
          <w:tcPr>
            <w:tcW w:w="498" w:type="pct"/>
            <w:tcBorders>
              <w:tl2br w:val="nil"/>
              <w:tr2bl w:val="nil"/>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2943</w:t>
            </w:r>
          </w:p>
        </w:tc>
        <w:tc>
          <w:tcPr>
            <w:tcW w:w="636" w:type="pct"/>
            <w:tcBorders>
              <w:tl2br w:val="nil"/>
              <w:tr2bl w:val="nil"/>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464" w:type="pct"/>
            <w:tcBorders>
              <w:tl2br w:val="nil"/>
              <w:tr2bl w:val="nil"/>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704"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jc w:val="center"/>
        </w:trPr>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632"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元朗蛋卷王</w:t>
            </w:r>
          </w:p>
        </w:tc>
        <w:tc>
          <w:tcPr>
            <w:tcW w:w="672"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元朗   908g/罐</w:t>
            </w:r>
          </w:p>
        </w:tc>
        <w:tc>
          <w:tcPr>
            <w:tcW w:w="1031"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drawing>
                <wp:inline distT="0" distB="0" distL="114300" distR="114300">
                  <wp:extent cx="1097280" cy="1148080"/>
                  <wp:effectExtent l="0" t="0" r="7620" b="7620"/>
                  <wp:docPr id="14376" name="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 name="null"/>
                          <pic:cNvPicPr>
                            <a:picLocks noChangeAspect="1"/>
                          </pic:cNvPicPr>
                        </pic:nvPicPr>
                        <pic:blipFill>
                          <a:blip r:embed="rId18"/>
                          <a:stretch>
                            <a:fillRect/>
                          </a:stretch>
                        </pic:blipFill>
                        <pic:spPr>
                          <a:xfrm>
                            <a:off x="0" y="0"/>
                            <a:ext cx="1097280" cy="1148080"/>
                          </a:xfrm>
                          <a:prstGeom prst="rect">
                            <a:avLst/>
                          </a:prstGeom>
                          <a:noFill/>
                          <a:ln w="9525">
                            <a:noFill/>
                          </a:ln>
                        </pic:spPr>
                      </pic:pic>
                    </a:graphicData>
                  </a:graphic>
                </wp:inline>
              </w:drawing>
            </w:r>
          </w:p>
        </w:tc>
        <w:tc>
          <w:tcPr>
            <w:tcW w:w="498" w:type="pct"/>
            <w:tcBorders>
              <w:tl2br w:val="nil"/>
              <w:tr2bl w:val="nil"/>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817</w:t>
            </w:r>
          </w:p>
        </w:tc>
        <w:tc>
          <w:tcPr>
            <w:tcW w:w="636" w:type="pct"/>
            <w:tcBorders>
              <w:tl2br w:val="nil"/>
              <w:tr2bl w:val="nil"/>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464" w:type="pct"/>
            <w:tcBorders>
              <w:tl2br w:val="nil"/>
              <w:tr2bl w:val="nil"/>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704"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jc w:val="center"/>
        </w:trPr>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632"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王老吉凉茶</w:t>
            </w:r>
          </w:p>
        </w:tc>
        <w:tc>
          <w:tcPr>
            <w:tcW w:w="672"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王老吉310ml*24罐</w:t>
            </w:r>
          </w:p>
        </w:tc>
        <w:tc>
          <w:tcPr>
            <w:tcW w:w="1031"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drawing>
                <wp:inline distT="0" distB="0" distL="114300" distR="114300">
                  <wp:extent cx="1088390" cy="1172210"/>
                  <wp:effectExtent l="0" t="0" r="3810" b="8890"/>
                  <wp:docPr id="14377" name="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 name="null"/>
                          <pic:cNvPicPr>
                            <a:picLocks noChangeAspect="1"/>
                          </pic:cNvPicPr>
                        </pic:nvPicPr>
                        <pic:blipFill>
                          <a:blip r:embed="rId19"/>
                          <a:stretch>
                            <a:fillRect/>
                          </a:stretch>
                        </pic:blipFill>
                        <pic:spPr>
                          <a:xfrm>
                            <a:off x="0" y="0"/>
                            <a:ext cx="1088390" cy="1172210"/>
                          </a:xfrm>
                          <a:prstGeom prst="rect">
                            <a:avLst/>
                          </a:prstGeom>
                          <a:noFill/>
                          <a:ln w="9525">
                            <a:noFill/>
                          </a:ln>
                        </pic:spPr>
                      </pic:pic>
                    </a:graphicData>
                  </a:graphic>
                </wp:inline>
              </w:drawing>
            </w:r>
          </w:p>
        </w:tc>
        <w:tc>
          <w:tcPr>
            <w:tcW w:w="498" w:type="pct"/>
            <w:tcBorders>
              <w:tl2br w:val="nil"/>
              <w:tr2bl w:val="nil"/>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817</w:t>
            </w:r>
          </w:p>
        </w:tc>
        <w:tc>
          <w:tcPr>
            <w:tcW w:w="636" w:type="pct"/>
            <w:tcBorders>
              <w:tl2br w:val="nil"/>
              <w:tr2bl w:val="nil"/>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464" w:type="pct"/>
            <w:tcBorders>
              <w:tl2br w:val="nil"/>
              <w:tr2bl w:val="nil"/>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704"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jc w:val="center"/>
        </w:trPr>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632"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安慕希酸奶</w:t>
            </w:r>
          </w:p>
        </w:tc>
        <w:tc>
          <w:tcPr>
            <w:tcW w:w="672"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伊利安慕希205g*16盒</w:t>
            </w:r>
          </w:p>
        </w:tc>
        <w:tc>
          <w:tcPr>
            <w:tcW w:w="1031"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drawing>
                <wp:inline distT="0" distB="0" distL="114300" distR="114300">
                  <wp:extent cx="1107440" cy="1263015"/>
                  <wp:effectExtent l="0" t="0" r="10160" b="6985"/>
                  <wp:docPr id="1437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 name="图片 8"/>
                          <pic:cNvPicPr>
                            <a:picLocks noChangeAspect="1"/>
                          </pic:cNvPicPr>
                        </pic:nvPicPr>
                        <pic:blipFill>
                          <a:blip r:embed="rId20"/>
                          <a:stretch>
                            <a:fillRect/>
                          </a:stretch>
                        </pic:blipFill>
                        <pic:spPr>
                          <a:xfrm>
                            <a:off x="0" y="0"/>
                            <a:ext cx="1107440" cy="1263015"/>
                          </a:xfrm>
                          <a:prstGeom prst="rect">
                            <a:avLst/>
                          </a:prstGeom>
                          <a:noFill/>
                          <a:ln w="9525">
                            <a:noFill/>
                          </a:ln>
                        </pic:spPr>
                      </pic:pic>
                    </a:graphicData>
                  </a:graphic>
                </wp:inline>
              </w:drawing>
            </w:r>
          </w:p>
        </w:tc>
        <w:tc>
          <w:tcPr>
            <w:tcW w:w="498" w:type="pct"/>
            <w:tcBorders>
              <w:tl2br w:val="nil"/>
              <w:tr2bl w:val="nil"/>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817</w:t>
            </w:r>
          </w:p>
        </w:tc>
        <w:tc>
          <w:tcPr>
            <w:tcW w:w="636" w:type="pct"/>
            <w:tcBorders>
              <w:tl2br w:val="nil"/>
              <w:tr2bl w:val="nil"/>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464" w:type="pct"/>
            <w:tcBorders>
              <w:tl2br w:val="nil"/>
              <w:tr2bl w:val="nil"/>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704"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7</w:t>
            </w:r>
          </w:p>
        </w:tc>
        <w:tc>
          <w:tcPr>
            <w:tcW w:w="632" w:type="pct"/>
            <w:tcBorders>
              <w:tl2br w:val="nil"/>
              <w:tr2bl w:val="nil"/>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礼盒装月饼</w:t>
            </w:r>
          </w:p>
        </w:tc>
        <w:tc>
          <w:tcPr>
            <w:tcW w:w="672" w:type="pct"/>
            <w:tcBorders>
              <w:tl2br w:val="nil"/>
              <w:tr2bl w:val="nil"/>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广州酒家 540克       （蛋黄纯白莲蓉月饼90克*1，粒粒红豆沙月饼90克*2，紫薯月饼90克*3）</w:t>
            </w:r>
          </w:p>
        </w:tc>
        <w:tc>
          <w:tcPr>
            <w:tcW w:w="1031" w:type="pct"/>
            <w:tcBorders>
              <w:tl2br w:val="nil"/>
              <w:tr2bl w:val="nil"/>
            </w:tcBorders>
            <w:shd w:val="clear" w:color="FFFFFF" w:fill="FFFFFF"/>
            <w:vAlign w:val="center"/>
          </w:tcPr>
          <w:p>
            <w:pPr>
              <w:keepNext w:val="0"/>
              <w:keepLines w:val="0"/>
              <w:widowControl/>
              <w:suppressLineNumbers w:val="0"/>
              <w:jc w:val="center"/>
              <w:textAlignment w:val="center"/>
              <w:rPr>
                <w:rFonts w:hint="eastAsia" w:eastAsiaTheme="minorEastAsia"/>
                <w:lang w:eastAsia="zh-CN"/>
              </w:rPr>
            </w:pPr>
            <w:r>
              <w:rPr>
                <w:rFonts w:hint="eastAsia" w:eastAsiaTheme="minorEastAsia"/>
                <w:lang w:eastAsia="zh-CN"/>
              </w:rPr>
              <w:drawing>
                <wp:inline distT="0" distB="0" distL="114300" distR="114300">
                  <wp:extent cx="1316355" cy="1151255"/>
                  <wp:effectExtent l="0" t="0" r="4445" b="4445"/>
                  <wp:docPr id="1" name="图片 1" descr="721d03100cbc825f67adde2f3a88d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21d03100cbc825f67adde2f3a88d5c"/>
                          <pic:cNvPicPr>
                            <a:picLocks noChangeAspect="1"/>
                          </pic:cNvPicPr>
                        </pic:nvPicPr>
                        <pic:blipFill>
                          <a:blip r:embed="rId21"/>
                          <a:stretch>
                            <a:fillRect/>
                          </a:stretch>
                        </pic:blipFill>
                        <pic:spPr>
                          <a:xfrm rot="16200000">
                            <a:off x="0" y="0"/>
                            <a:ext cx="1316355" cy="1151255"/>
                          </a:xfrm>
                          <a:prstGeom prst="rect">
                            <a:avLst/>
                          </a:prstGeom>
                        </pic:spPr>
                      </pic:pic>
                    </a:graphicData>
                  </a:graphic>
                </wp:inline>
              </w:drawing>
            </w:r>
          </w:p>
        </w:tc>
        <w:tc>
          <w:tcPr>
            <w:tcW w:w="498" w:type="pct"/>
            <w:tcBorders>
              <w:tl2br w:val="nil"/>
              <w:tr2bl w:val="nil"/>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1438</w:t>
            </w:r>
          </w:p>
        </w:tc>
        <w:tc>
          <w:tcPr>
            <w:tcW w:w="636" w:type="pct"/>
            <w:tcBorders>
              <w:tl2br w:val="nil"/>
              <w:tr2bl w:val="nil"/>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464" w:type="pct"/>
            <w:tcBorders>
              <w:tl2br w:val="nil"/>
              <w:tr2bl w:val="nil"/>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704"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1" w:hRule="atLeast"/>
          <w:jc w:val="center"/>
        </w:trPr>
        <w:tc>
          <w:tcPr>
            <w:tcW w:w="2697" w:type="pct"/>
            <w:gridSpan w:val="4"/>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2"/>
                <w:szCs w:val="22"/>
                <w:u w:val="none"/>
                <w:lang w:val="en-US" w:eastAsia="zh-CN" w:bidi="ar"/>
              </w:rPr>
              <w:t>合计（含税）</w:t>
            </w:r>
          </w:p>
        </w:tc>
        <w:tc>
          <w:tcPr>
            <w:tcW w:w="2302" w:type="pct"/>
            <w:gridSpan w:val="4"/>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jc w:val="center"/>
              <w:textAlignment w:val="center"/>
              <w:rPr>
                <w:rFonts w:hint="eastAsia" w:ascii="宋体" w:hAnsi="宋体" w:eastAsia="宋体" w:cs="宋体"/>
                <w:i w:val="0"/>
                <w:iCs w:val="0"/>
                <w:color w:val="auto"/>
                <w:sz w:val="20"/>
                <w:szCs w:val="20"/>
                <w:u w:val="none"/>
              </w:rPr>
            </w:pPr>
          </w:p>
        </w:tc>
      </w:tr>
    </w:tbl>
    <w:p>
      <w:pPr>
        <w:spacing w:line="400" w:lineRule="exact"/>
        <w:rPr>
          <w:rFonts w:ascii="仿宋" w:hAnsi="仿宋" w:eastAsia="仿宋"/>
          <w:color w:val="auto"/>
          <w:sz w:val="24"/>
          <w:szCs w:val="24"/>
        </w:rPr>
      </w:pPr>
      <w:r>
        <w:rPr>
          <w:rFonts w:hint="eastAsia" w:ascii="仿宋" w:hAnsi="仿宋" w:eastAsia="仿宋"/>
          <w:color w:val="auto"/>
          <w:sz w:val="24"/>
          <w:szCs w:val="24"/>
        </w:rPr>
        <w:t>注：</w:t>
      </w:r>
    </w:p>
    <w:p>
      <w:pPr>
        <w:numPr>
          <w:ilvl w:val="0"/>
          <w:numId w:val="7"/>
        </w:numPr>
        <w:spacing w:after="0" w:line="440" w:lineRule="exact"/>
        <w:rPr>
          <w:rFonts w:ascii="仿宋" w:hAnsi="仿宋" w:eastAsia="仿宋"/>
          <w:bCs/>
          <w:color w:val="auto"/>
          <w:sz w:val="24"/>
          <w:szCs w:val="24"/>
        </w:rPr>
      </w:pPr>
      <w:r>
        <w:rPr>
          <w:rFonts w:hint="eastAsia" w:ascii="仿宋" w:hAnsi="仿宋" w:eastAsia="仿宋"/>
          <w:bCs/>
          <w:color w:val="auto"/>
          <w:sz w:val="24"/>
          <w:szCs w:val="24"/>
        </w:rPr>
        <w:t>本项目采用“公开询价”方式进行，《公开询价货物一览表》中所描述的“</w:t>
      </w:r>
      <w:r>
        <w:rPr>
          <w:rFonts w:hint="eastAsia" w:ascii="仿宋" w:hAnsi="仿宋" w:eastAsia="仿宋"/>
          <w:bCs/>
          <w:color w:val="auto"/>
          <w:sz w:val="24"/>
          <w:szCs w:val="24"/>
          <w:lang w:val="en-US" w:eastAsia="zh-CN"/>
        </w:rPr>
        <w:t>产品</w:t>
      </w:r>
      <w:r>
        <w:rPr>
          <w:rFonts w:hint="eastAsia" w:ascii="仿宋" w:hAnsi="仿宋" w:eastAsia="仿宋"/>
          <w:bCs/>
          <w:color w:val="auto"/>
          <w:sz w:val="24"/>
          <w:szCs w:val="24"/>
        </w:rPr>
        <w:t>名称”、“</w:t>
      </w:r>
      <w:r>
        <w:rPr>
          <w:rFonts w:hint="eastAsia" w:ascii="仿宋" w:hAnsi="仿宋" w:eastAsia="仿宋"/>
          <w:bCs/>
          <w:color w:val="auto"/>
          <w:sz w:val="24"/>
          <w:szCs w:val="24"/>
          <w:lang w:val="en-US" w:eastAsia="zh-CN"/>
        </w:rPr>
        <w:t>品牌及规格</w:t>
      </w:r>
      <w:r>
        <w:rPr>
          <w:rFonts w:hint="eastAsia" w:ascii="仿宋" w:hAnsi="仿宋" w:eastAsia="仿宋"/>
          <w:bCs/>
          <w:color w:val="auto"/>
          <w:sz w:val="24"/>
          <w:szCs w:val="24"/>
        </w:rPr>
        <w:t>”等信息均为采购人根据自身需求提供的参考数据，除采购人特殊要求外，参与人可根据以上信息在满足采购人要求基础上提供优化方案及所匹配产品，采购人将优先选择性价比高且符合要求的产品。</w:t>
      </w:r>
    </w:p>
    <w:p>
      <w:pPr>
        <w:numPr>
          <w:ilvl w:val="0"/>
          <w:numId w:val="7"/>
        </w:numPr>
        <w:spacing w:after="0" w:line="440" w:lineRule="exact"/>
        <w:rPr>
          <w:rFonts w:hint="eastAsia" w:ascii="仿宋" w:hAnsi="仿宋" w:eastAsia="仿宋"/>
          <w:bCs/>
          <w:color w:val="auto"/>
          <w:sz w:val="24"/>
          <w:szCs w:val="24"/>
        </w:rPr>
      </w:pPr>
      <w:r>
        <w:rPr>
          <w:rFonts w:hint="eastAsia" w:ascii="仿宋" w:hAnsi="仿宋" w:eastAsia="仿宋"/>
          <w:bCs/>
          <w:color w:val="auto"/>
          <w:sz w:val="24"/>
          <w:szCs w:val="24"/>
        </w:rPr>
        <w:t>参与人所投商品需要提供品牌、规格型号等真实详细信息，禁止复制采购人所提供的参考参数。</w:t>
      </w:r>
    </w:p>
    <w:p>
      <w:pPr>
        <w:numPr>
          <w:ilvl w:val="0"/>
          <w:numId w:val="7"/>
        </w:numPr>
        <w:spacing w:after="0" w:line="440" w:lineRule="exact"/>
        <w:rPr>
          <w:rFonts w:hint="eastAsia" w:ascii="仿宋" w:hAnsi="仿宋" w:eastAsia="仿宋"/>
          <w:bCs/>
          <w:color w:val="auto"/>
          <w:sz w:val="24"/>
          <w:szCs w:val="24"/>
          <w:highlight w:val="none"/>
        </w:rPr>
      </w:pPr>
      <w:r>
        <w:rPr>
          <w:rFonts w:hint="eastAsia" w:ascii="仿宋" w:hAnsi="仿宋" w:eastAsia="仿宋"/>
          <w:bCs/>
          <w:color w:val="auto"/>
          <w:sz w:val="24"/>
          <w:szCs w:val="24"/>
          <w:highlight w:val="none"/>
        </w:rPr>
        <w:t>被选物品</w:t>
      </w:r>
      <w:r>
        <w:rPr>
          <w:rFonts w:hint="eastAsia" w:ascii="仿宋" w:hAnsi="仿宋" w:eastAsia="仿宋"/>
          <w:bCs/>
          <w:color w:val="auto"/>
          <w:sz w:val="24"/>
          <w:szCs w:val="24"/>
          <w:highlight w:val="none"/>
          <w:lang w:val="en-US" w:eastAsia="zh-CN"/>
        </w:rPr>
        <w:t>供方需根据需方提供的所有清单</w:t>
      </w:r>
      <w:r>
        <w:rPr>
          <w:rFonts w:hint="eastAsia" w:ascii="仿宋" w:hAnsi="仿宋" w:eastAsia="仿宋"/>
          <w:bCs/>
          <w:color w:val="auto"/>
          <w:sz w:val="24"/>
          <w:szCs w:val="24"/>
          <w:highlight w:val="none"/>
        </w:rPr>
        <w:t>同时配送到</w:t>
      </w:r>
      <w:r>
        <w:rPr>
          <w:rFonts w:hint="eastAsia" w:ascii="仿宋" w:hAnsi="仿宋" w:eastAsia="仿宋"/>
          <w:bCs/>
          <w:color w:val="auto"/>
          <w:sz w:val="24"/>
          <w:szCs w:val="24"/>
          <w:highlight w:val="none"/>
          <w:lang w:val="en-US" w:eastAsia="zh-CN"/>
        </w:rPr>
        <w:t>中教集团广东</w:t>
      </w:r>
      <w:r>
        <w:rPr>
          <w:rFonts w:hint="eastAsia" w:ascii="仿宋" w:hAnsi="仿宋" w:eastAsia="仿宋"/>
          <w:bCs/>
          <w:color w:val="auto"/>
          <w:sz w:val="24"/>
          <w:szCs w:val="24"/>
          <w:highlight w:val="none"/>
        </w:rPr>
        <w:t>南方四校各个校区，注明到货时间。</w:t>
      </w:r>
    </w:p>
    <w:p>
      <w:pPr>
        <w:numPr>
          <w:ilvl w:val="0"/>
          <w:numId w:val="7"/>
        </w:numPr>
        <w:spacing w:after="0" w:line="440" w:lineRule="exact"/>
        <w:rPr>
          <w:rFonts w:hint="eastAsia" w:ascii="仿宋" w:hAnsi="仿宋" w:eastAsia="仿宋"/>
          <w:bCs/>
          <w:color w:val="auto"/>
          <w:sz w:val="24"/>
          <w:szCs w:val="24"/>
          <w:highlight w:val="none"/>
        </w:rPr>
      </w:pPr>
      <w:r>
        <w:rPr>
          <w:rFonts w:hint="eastAsia" w:ascii="仿宋" w:hAnsi="仿宋" w:eastAsia="仿宋"/>
          <w:bCs/>
          <w:color w:val="auto"/>
          <w:sz w:val="24"/>
          <w:szCs w:val="24"/>
          <w:highlight w:val="none"/>
        </w:rPr>
        <w:t>所有</w:t>
      </w:r>
      <w:r>
        <w:rPr>
          <w:rFonts w:hint="eastAsia" w:ascii="仿宋" w:hAnsi="仿宋" w:eastAsia="仿宋"/>
          <w:bCs/>
          <w:color w:val="auto"/>
          <w:sz w:val="24"/>
          <w:szCs w:val="24"/>
          <w:highlight w:val="none"/>
          <w:lang w:val="en-US" w:eastAsia="zh-CN"/>
        </w:rPr>
        <w:t>产品</w:t>
      </w:r>
      <w:r>
        <w:rPr>
          <w:rFonts w:hint="eastAsia" w:ascii="仿宋" w:hAnsi="仿宋" w:eastAsia="仿宋"/>
          <w:bCs/>
          <w:color w:val="auto"/>
          <w:sz w:val="24"/>
          <w:szCs w:val="24"/>
          <w:highlight w:val="none"/>
        </w:rPr>
        <w:t>均以人民币报价；参与人所报价格应为物品单品询价，不作打包报价。</w:t>
      </w:r>
    </w:p>
    <w:p>
      <w:pPr>
        <w:numPr>
          <w:ilvl w:val="0"/>
          <w:numId w:val="7"/>
        </w:numPr>
        <w:spacing w:after="0" w:line="440" w:lineRule="exact"/>
        <w:rPr>
          <w:rFonts w:hint="eastAsia" w:ascii="仿宋" w:hAnsi="仿宋" w:eastAsia="仿宋"/>
          <w:bCs/>
          <w:color w:val="auto"/>
          <w:sz w:val="24"/>
          <w:szCs w:val="24"/>
        </w:rPr>
      </w:pPr>
      <w:r>
        <w:rPr>
          <w:rFonts w:hint="eastAsia" w:ascii="仿宋" w:hAnsi="仿宋" w:eastAsia="仿宋"/>
          <w:bCs/>
          <w:color w:val="auto"/>
          <w:sz w:val="24"/>
          <w:szCs w:val="24"/>
        </w:rPr>
        <w:t>参与人所投商品报价应包含税费、运输费、搬运费等一切费用，供方需开具足额普通发票。</w:t>
      </w:r>
    </w:p>
    <w:p>
      <w:pPr>
        <w:numPr>
          <w:ilvl w:val="0"/>
          <w:numId w:val="7"/>
        </w:numPr>
        <w:spacing w:after="0" w:line="440" w:lineRule="exact"/>
        <w:rPr>
          <w:rFonts w:hint="eastAsia" w:ascii="仿宋" w:hAnsi="仿宋" w:eastAsia="仿宋"/>
          <w:bCs/>
          <w:color w:val="auto"/>
          <w:sz w:val="24"/>
          <w:szCs w:val="24"/>
        </w:rPr>
      </w:pPr>
      <w:r>
        <w:rPr>
          <w:rFonts w:hint="eastAsia" w:ascii="仿宋" w:hAnsi="仿宋" w:eastAsia="仿宋"/>
          <w:bCs/>
          <w:color w:val="auto"/>
          <w:sz w:val="24"/>
          <w:szCs w:val="24"/>
        </w:rPr>
        <w:t>如果按单价计算的结果与总价不一致，以单价为准修正总价。</w:t>
      </w:r>
    </w:p>
    <w:p>
      <w:pPr>
        <w:numPr>
          <w:ilvl w:val="0"/>
          <w:numId w:val="7"/>
        </w:numPr>
        <w:spacing w:after="0" w:line="440" w:lineRule="exact"/>
        <w:rPr>
          <w:rFonts w:hint="eastAsia" w:ascii="仿宋" w:hAnsi="仿宋" w:eastAsia="仿宋"/>
          <w:bCs/>
          <w:color w:val="auto"/>
          <w:sz w:val="24"/>
          <w:szCs w:val="24"/>
        </w:rPr>
      </w:pPr>
      <w:r>
        <w:rPr>
          <w:rFonts w:hint="eastAsia" w:ascii="仿宋" w:hAnsi="仿宋" w:eastAsia="仿宋"/>
          <w:bCs/>
          <w:color w:val="auto"/>
          <w:sz w:val="24"/>
          <w:szCs w:val="24"/>
        </w:rPr>
        <w:t>供方须对所供的产品质量问题承诺无理由退换，报价注明产品质保期。</w:t>
      </w:r>
    </w:p>
    <w:p>
      <w:pPr>
        <w:numPr>
          <w:ilvl w:val="0"/>
          <w:numId w:val="7"/>
        </w:numPr>
        <w:spacing w:after="0" w:line="440" w:lineRule="exact"/>
        <w:rPr>
          <w:rFonts w:hint="eastAsia" w:ascii="仿宋" w:hAnsi="仿宋" w:eastAsia="仿宋"/>
          <w:b/>
          <w:color w:val="auto"/>
          <w:sz w:val="36"/>
          <w:szCs w:val="36"/>
          <w:lang w:eastAsia="zh-CN"/>
        </w:rPr>
      </w:pPr>
      <w:r>
        <w:rPr>
          <w:rFonts w:hint="eastAsia" w:ascii="仿宋" w:hAnsi="仿宋" w:eastAsia="仿宋"/>
          <w:bCs/>
          <w:color w:val="auto"/>
          <w:sz w:val="24"/>
          <w:szCs w:val="24"/>
        </w:rPr>
        <w:t>具体配送数量以各校实际订单数量为准。</w:t>
      </w:r>
      <w:r>
        <w:rPr>
          <w:rFonts w:hint="eastAsia" w:ascii="仿宋" w:hAnsi="仿宋" w:eastAsia="仿宋"/>
          <w:bCs/>
          <w:color w:val="auto"/>
          <w:sz w:val="24"/>
          <w:szCs w:val="24"/>
          <w:lang w:eastAsia="zh-CN"/>
        </w:rPr>
        <w:t>（</w:t>
      </w:r>
      <w:r>
        <w:rPr>
          <w:rFonts w:hint="eastAsia" w:ascii="仿宋" w:hAnsi="仿宋" w:eastAsia="仿宋"/>
          <w:bCs/>
          <w:color w:val="auto"/>
          <w:sz w:val="24"/>
          <w:szCs w:val="24"/>
          <w:lang w:val="en-US" w:eastAsia="zh-CN"/>
        </w:rPr>
        <w:t>据实结算</w:t>
      </w:r>
      <w:r>
        <w:rPr>
          <w:rFonts w:hint="eastAsia" w:ascii="仿宋" w:hAnsi="仿宋" w:eastAsia="仿宋"/>
          <w:bCs/>
          <w:color w:val="auto"/>
          <w:sz w:val="24"/>
          <w:szCs w:val="24"/>
          <w:lang w:eastAsia="zh-CN"/>
        </w:rPr>
        <w:t>）</w:t>
      </w:r>
    </w:p>
    <w:p>
      <w:pPr>
        <w:rPr>
          <w:rFonts w:ascii="仿宋" w:hAnsi="仿宋" w:eastAsia="仿宋"/>
          <w:b/>
          <w:color w:val="auto"/>
          <w:sz w:val="36"/>
          <w:szCs w:val="36"/>
        </w:rPr>
        <w:sectPr>
          <w:footerReference r:id="rId7" w:type="first"/>
          <w:headerReference r:id="rId5" w:type="default"/>
          <w:footerReference r:id="rId6" w:type="default"/>
          <w:pgSz w:w="11906" w:h="16838"/>
          <w:pgMar w:top="1440" w:right="1133" w:bottom="1440" w:left="993" w:header="851" w:footer="227" w:gutter="0"/>
          <w:pgBorders>
            <w:top w:val="none" w:sz="0" w:space="0"/>
            <w:left w:val="none" w:sz="0" w:space="0"/>
            <w:bottom w:val="none" w:sz="0" w:space="0"/>
            <w:right w:val="none" w:sz="0" w:space="0"/>
          </w:pgBorders>
          <w:pgNumType w:fmt="decimal"/>
          <w:cols w:space="425" w:num="1"/>
          <w:titlePg/>
          <w:docGrid w:type="lines" w:linePitch="312" w:charSpace="0"/>
        </w:sectPr>
      </w:pPr>
      <w:r>
        <w:rPr>
          <w:rFonts w:ascii="仿宋" w:hAnsi="仿宋" w:eastAsia="仿宋"/>
          <w:b/>
          <w:color w:val="auto"/>
          <w:sz w:val="36"/>
          <w:szCs w:val="36"/>
        </w:rPr>
        <w:br w:type="page"/>
      </w:r>
    </w:p>
    <w:p>
      <w:pPr>
        <w:spacing w:line="1000" w:lineRule="exact"/>
        <w:jc w:val="both"/>
        <w:rPr>
          <w:rFonts w:ascii="仿宋" w:hAnsi="仿宋" w:eastAsia="仿宋"/>
          <w:b/>
          <w:color w:val="auto"/>
          <w:sz w:val="72"/>
          <w:szCs w:val="72"/>
        </w:rPr>
      </w:pPr>
      <w:r>
        <w:drawing>
          <wp:anchor distT="0" distB="0" distL="114300" distR="114300" simplePos="0" relativeHeight="251661312" behindDoc="1" locked="0" layoutInCell="1" allowOverlap="1">
            <wp:simplePos x="0" y="0"/>
            <wp:positionH relativeFrom="page">
              <wp:posOffset>2026920</wp:posOffset>
            </wp:positionH>
            <wp:positionV relativeFrom="page">
              <wp:posOffset>808990</wp:posOffset>
            </wp:positionV>
            <wp:extent cx="3252470" cy="70485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252470" cy="704850"/>
                    </a:xfrm>
                    <a:prstGeom prst="rect">
                      <a:avLst/>
                    </a:prstGeom>
                  </pic:spPr>
                </pic:pic>
              </a:graphicData>
            </a:graphic>
          </wp:anchor>
        </w:drawing>
      </w:r>
    </w:p>
    <w:p>
      <w:pPr>
        <w:spacing w:line="1000" w:lineRule="exact"/>
        <w:jc w:val="center"/>
        <w:rPr>
          <w:rFonts w:ascii="仿宋" w:hAnsi="仿宋" w:eastAsia="仿宋"/>
          <w:b/>
          <w:color w:val="auto"/>
          <w:sz w:val="44"/>
          <w:szCs w:val="44"/>
          <w:highlight w:val="none"/>
        </w:rPr>
      </w:pPr>
      <w:r>
        <w:rPr>
          <w:rFonts w:hint="eastAsia" w:ascii="仿宋" w:hAnsi="仿宋" w:eastAsia="仿宋"/>
          <w:b/>
          <w:color w:val="auto"/>
          <w:sz w:val="44"/>
          <w:szCs w:val="44"/>
          <w:highlight w:val="none"/>
          <w:lang w:val="en-US" w:eastAsia="zh-CN"/>
        </w:rPr>
        <w:t>中教集团</w:t>
      </w:r>
      <w:r>
        <w:rPr>
          <w:rFonts w:hint="eastAsia" w:ascii="仿宋" w:hAnsi="仿宋" w:eastAsia="仿宋"/>
          <w:b/>
          <w:color w:val="auto"/>
          <w:sz w:val="44"/>
          <w:szCs w:val="44"/>
          <w:highlight w:val="none"/>
        </w:rPr>
        <w:t>广东四校关于中秋</w:t>
      </w:r>
      <w:r>
        <w:rPr>
          <w:rFonts w:hint="eastAsia" w:ascii="仿宋" w:hAnsi="仿宋" w:eastAsia="仿宋"/>
          <w:b/>
          <w:color w:val="auto"/>
          <w:sz w:val="44"/>
          <w:szCs w:val="44"/>
          <w:highlight w:val="none"/>
          <w:lang w:val="en-US" w:eastAsia="zh-CN"/>
        </w:rPr>
        <w:t>教工慰问</w:t>
      </w:r>
      <w:r>
        <w:rPr>
          <w:rFonts w:hint="eastAsia" w:ascii="仿宋" w:hAnsi="仿宋" w:eastAsia="仿宋"/>
          <w:b/>
          <w:color w:val="auto"/>
          <w:sz w:val="44"/>
          <w:szCs w:val="44"/>
          <w:highlight w:val="none"/>
        </w:rPr>
        <w:t>品</w:t>
      </w:r>
      <w:r>
        <w:rPr>
          <w:rFonts w:hint="eastAsia" w:ascii="仿宋" w:hAnsi="仿宋" w:eastAsia="仿宋"/>
          <w:b/>
          <w:color w:val="auto"/>
          <w:sz w:val="44"/>
          <w:szCs w:val="44"/>
          <w:highlight w:val="none"/>
          <w:lang w:val="en-US" w:eastAsia="zh-CN"/>
        </w:rPr>
        <w:t>采购</w:t>
      </w:r>
      <w:r>
        <w:rPr>
          <w:rFonts w:hint="eastAsia" w:ascii="仿宋" w:hAnsi="仿宋" w:eastAsia="仿宋"/>
          <w:b/>
          <w:color w:val="auto"/>
          <w:sz w:val="44"/>
          <w:szCs w:val="44"/>
          <w:highlight w:val="none"/>
        </w:rPr>
        <w:t>项目</w:t>
      </w:r>
    </w:p>
    <w:p>
      <w:pPr>
        <w:spacing w:line="580" w:lineRule="exact"/>
        <w:jc w:val="center"/>
        <w:rPr>
          <w:rFonts w:ascii="仿宋" w:hAnsi="仿宋" w:eastAsia="仿宋"/>
          <w:b/>
          <w:color w:val="auto"/>
          <w:sz w:val="52"/>
          <w:szCs w:val="52"/>
        </w:rPr>
      </w:pPr>
    </w:p>
    <w:p>
      <w:pPr>
        <w:spacing w:line="580" w:lineRule="exact"/>
        <w:jc w:val="center"/>
        <w:rPr>
          <w:rFonts w:ascii="仿宋" w:hAnsi="仿宋" w:eastAsia="仿宋"/>
          <w:b/>
          <w:color w:val="auto"/>
          <w:sz w:val="52"/>
          <w:szCs w:val="52"/>
        </w:rPr>
      </w:pPr>
      <w:r>
        <w:rPr>
          <w:rFonts w:hint="eastAsia" w:ascii="仿宋" w:hAnsi="仿宋" w:eastAsia="仿宋"/>
          <w:b/>
          <w:color w:val="auto"/>
          <w:sz w:val="52"/>
          <w:szCs w:val="52"/>
        </w:rPr>
        <w:t>报</w:t>
      </w:r>
    </w:p>
    <w:p>
      <w:pPr>
        <w:spacing w:line="580" w:lineRule="exact"/>
        <w:jc w:val="center"/>
        <w:rPr>
          <w:rFonts w:ascii="仿宋" w:hAnsi="仿宋" w:eastAsia="仿宋"/>
          <w:b/>
          <w:color w:val="auto"/>
          <w:sz w:val="52"/>
          <w:szCs w:val="52"/>
        </w:rPr>
      </w:pPr>
      <w:r>
        <w:rPr>
          <w:rFonts w:hint="eastAsia" w:ascii="仿宋" w:hAnsi="仿宋" w:eastAsia="仿宋"/>
          <w:b/>
          <w:color w:val="auto"/>
          <w:sz w:val="52"/>
          <w:szCs w:val="52"/>
        </w:rPr>
        <w:t>价</w:t>
      </w:r>
    </w:p>
    <w:p>
      <w:pPr>
        <w:spacing w:line="580" w:lineRule="exact"/>
        <w:jc w:val="center"/>
        <w:rPr>
          <w:rFonts w:ascii="仿宋" w:hAnsi="仿宋" w:eastAsia="仿宋"/>
          <w:b/>
          <w:color w:val="auto"/>
          <w:sz w:val="52"/>
          <w:szCs w:val="52"/>
        </w:rPr>
      </w:pPr>
      <w:r>
        <w:rPr>
          <w:rFonts w:hint="eastAsia" w:ascii="仿宋" w:hAnsi="仿宋" w:eastAsia="仿宋"/>
          <w:b/>
          <w:color w:val="auto"/>
          <w:sz w:val="52"/>
          <w:szCs w:val="52"/>
        </w:rPr>
        <w:t>响</w:t>
      </w:r>
    </w:p>
    <w:p>
      <w:pPr>
        <w:spacing w:line="580" w:lineRule="exact"/>
        <w:jc w:val="center"/>
        <w:rPr>
          <w:rFonts w:ascii="仿宋" w:hAnsi="仿宋" w:eastAsia="仿宋"/>
          <w:b/>
          <w:color w:val="auto"/>
          <w:sz w:val="52"/>
          <w:szCs w:val="52"/>
        </w:rPr>
      </w:pPr>
      <w:r>
        <w:rPr>
          <w:rFonts w:hint="eastAsia" w:ascii="仿宋" w:hAnsi="仿宋" w:eastAsia="仿宋"/>
          <w:b/>
          <w:color w:val="auto"/>
          <w:sz w:val="52"/>
          <w:szCs w:val="52"/>
        </w:rPr>
        <w:t>应</w:t>
      </w:r>
    </w:p>
    <w:p>
      <w:pPr>
        <w:spacing w:line="580" w:lineRule="exact"/>
        <w:jc w:val="center"/>
        <w:rPr>
          <w:rFonts w:ascii="仿宋" w:hAnsi="仿宋" w:eastAsia="仿宋"/>
          <w:b/>
          <w:color w:val="auto"/>
          <w:sz w:val="52"/>
          <w:szCs w:val="52"/>
        </w:rPr>
      </w:pPr>
      <w:r>
        <w:rPr>
          <w:rFonts w:hint="eastAsia" w:ascii="仿宋" w:hAnsi="仿宋" w:eastAsia="仿宋"/>
          <w:b/>
          <w:color w:val="auto"/>
          <w:sz w:val="52"/>
          <w:szCs w:val="52"/>
        </w:rPr>
        <w:t>文</w:t>
      </w:r>
    </w:p>
    <w:p>
      <w:pPr>
        <w:spacing w:line="580" w:lineRule="exact"/>
        <w:jc w:val="center"/>
        <w:rPr>
          <w:rFonts w:ascii="仿宋" w:hAnsi="仿宋" w:eastAsia="仿宋"/>
          <w:b/>
          <w:color w:val="auto"/>
          <w:sz w:val="52"/>
          <w:szCs w:val="52"/>
        </w:rPr>
      </w:pPr>
      <w:r>
        <w:rPr>
          <w:rFonts w:hint="eastAsia" w:ascii="仿宋" w:hAnsi="仿宋" w:eastAsia="仿宋"/>
          <w:b/>
          <w:color w:val="auto"/>
          <w:sz w:val="52"/>
          <w:szCs w:val="52"/>
        </w:rPr>
        <w:t>件</w:t>
      </w:r>
    </w:p>
    <w:p>
      <w:pPr>
        <w:spacing w:line="580" w:lineRule="exact"/>
        <w:jc w:val="center"/>
        <w:rPr>
          <w:rFonts w:ascii="仿宋" w:hAnsi="仿宋" w:eastAsia="仿宋"/>
          <w:b/>
          <w:color w:val="auto"/>
          <w:sz w:val="72"/>
          <w:szCs w:val="72"/>
        </w:rPr>
      </w:pPr>
    </w:p>
    <w:p>
      <w:pPr>
        <w:spacing w:line="500" w:lineRule="exact"/>
        <w:ind w:firstLine="2331" w:firstLineChars="645"/>
        <w:rPr>
          <w:rFonts w:ascii="仿宋" w:hAnsi="仿宋" w:eastAsia="仿宋"/>
          <w:b/>
          <w:color w:val="auto"/>
          <w:sz w:val="36"/>
          <w:szCs w:val="36"/>
        </w:rPr>
      </w:pPr>
      <w:r>
        <w:rPr>
          <w:rFonts w:hint="eastAsia" w:ascii="仿宋" w:hAnsi="仿宋" w:eastAsia="仿宋"/>
          <w:b/>
          <w:color w:val="auto"/>
          <w:sz w:val="36"/>
          <w:szCs w:val="36"/>
        </w:rPr>
        <w:t>参与人名称（公司全称）：</w:t>
      </w:r>
      <w:r>
        <w:rPr>
          <w:rFonts w:ascii="仿宋" w:hAnsi="仿宋" w:eastAsia="仿宋"/>
          <w:b/>
          <w:color w:val="auto"/>
          <w:sz w:val="36"/>
          <w:szCs w:val="36"/>
        </w:rPr>
        <w:t>XXXX</w:t>
      </w:r>
    </w:p>
    <w:p>
      <w:pPr>
        <w:spacing w:line="500" w:lineRule="exact"/>
        <w:ind w:firstLine="2331" w:firstLineChars="645"/>
        <w:rPr>
          <w:rFonts w:ascii="仿宋" w:hAnsi="仿宋" w:eastAsia="仿宋"/>
          <w:b/>
          <w:color w:val="auto"/>
          <w:sz w:val="36"/>
          <w:szCs w:val="36"/>
        </w:rPr>
      </w:pPr>
      <w:r>
        <w:rPr>
          <w:rFonts w:hint="eastAsia" w:ascii="仿宋" w:hAnsi="仿宋" w:eastAsia="仿宋"/>
          <w:b/>
          <w:color w:val="auto"/>
          <w:sz w:val="36"/>
          <w:szCs w:val="36"/>
        </w:rPr>
        <w:t>参与人授权代表：X</w:t>
      </w:r>
      <w:r>
        <w:rPr>
          <w:rFonts w:ascii="仿宋" w:hAnsi="仿宋" w:eastAsia="仿宋"/>
          <w:b/>
          <w:color w:val="auto"/>
          <w:sz w:val="36"/>
          <w:szCs w:val="36"/>
        </w:rPr>
        <w:t>XXX</w:t>
      </w:r>
    </w:p>
    <w:p>
      <w:pPr>
        <w:jc w:val="center"/>
        <w:rPr>
          <w:rFonts w:ascii="仿宋" w:hAnsi="仿宋" w:eastAsia="仿宋"/>
          <w:b/>
          <w:color w:val="auto"/>
          <w:sz w:val="36"/>
          <w:szCs w:val="36"/>
        </w:rPr>
      </w:pPr>
    </w:p>
    <w:p>
      <w:pPr>
        <w:jc w:val="center"/>
        <w:rPr>
          <w:rFonts w:ascii="仿宋" w:hAnsi="仿宋" w:eastAsia="仿宋"/>
          <w:b/>
          <w:bCs/>
          <w:color w:val="auto"/>
          <w:sz w:val="30"/>
          <w:szCs w:val="30"/>
        </w:rPr>
      </w:pPr>
    </w:p>
    <w:p>
      <w:pPr>
        <w:jc w:val="center"/>
        <w:rPr>
          <w:rFonts w:ascii="仿宋" w:hAnsi="仿宋" w:eastAsia="仿宋"/>
          <w:b/>
          <w:bCs/>
          <w:color w:val="auto"/>
          <w:sz w:val="30"/>
          <w:szCs w:val="30"/>
        </w:rPr>
      </w:pPr>
      <w:r>
        <w:rPr>
          <w:rFonts w:hint="eastAsia" w:ascii="仿宋" w:hAnsi="仿宋" w:eastAsia="仿宋"/>
          <w:b/>
          <w:bCs/>
          <w:color w:val="auto"/>
          <w:sz w:val="30"/>
          <w:szCs w:val="30"/>
        </w:rPr>
        <w:t>此封面应作为报价响应文件封面</w:t>
      </w:r>
    </w:p>
    <w:p>
      <w:pPr>
        <w:rPr>
          <w:rFonts w:ascii="仿宋" w:hAnsi="仿宋" w:eastAsia="仿宋"/>
          <w:b/>
          <w:bCs/>
          <w:color w:val="auto"/>
          <w:sz w:val="30"/>
          <w:szCs w:val="30"/>
        </w:rPr>
        <w:sectPr>
          <w:headerReference r:id="rId9" w:type="first"/>
          <w:headerReference r:id="rId8" w:type="default"/>
          <w:type w:val="continuous"/>
          <w:pgSz w:w="11906" w:h="16838"/>
          <w:pgMar w:top="1440" w:right="1416" w:bottom="1440" w:left="1134" w:header="851" w:footer="227" w:gutter="0"/>
          <w:pgBorders>
            <w:top w:val="none" w:sz="0" w:space="0"/>
            <w:left w:val="none" w:sz="0" w:space="0"/>
            <w:bottom w:val="none" w:sz="0" w:space="0"/>
            <w:right w:val="none" w:sz="0" w:space="0"/>
          </w:pgBorders>
          <w:pgNumType w:fmt="decimal"/>
          <w:cols w:space="425" w:num="1"/>
          <w:titlePg/>
          <w:docGrid w:type="lines" w:linePitch="312" w:charSpace="0"/>
        </w:sectPr>
      </w:pPr>
    </w:p>
    <w:p>
      <w:pPr>
        <w:jc w:val="center"/>
        <w:outlineLvl w:val="1"/>
        <w:rPr>
          <w:rFonts w:hint="eastAsia" w:ascii="仿宋" w:hAnsi="仿宋" w:eastAsia="仿宋"/>
          <w:b/>
          <w:bCs/>
          <w:color w:val="auto"/>
          <w:sz w:val="24"/>
          <w:szCs w:val="24"/>
        </w:rPr>
      </w:pPr>
      <w:bookmarkStart w:id="50" w:name="_Toc191802690"/>
      <w:bookmarkStart w:id="51" w:name="_Toc230071147"/>
      <w:bookmarkStart w:id="52" w:name="_Toc225669322"/>
      <w:bookmarkStart w:id="53" w:name="_Toc160880160"/>
      <w:bookmarkStart w:id="54" w:name="_Toc213755858"/>
      <w:bookmarkStart w:id="55" w:name="_Toc267059653"/>
      <w:bookmarkStart w:id="56" w:name="_Toc235438274"/>
      <w:bookmarkStart w:id="57" w:name="_Toc193160448"/>
      <w:bookmarkStart w:id="58" w:name="_Toc213755995"/>
      <w:bookmarkStart w:id="59" w:name="_Toc267060068"/>
      <w:bookmarkStart w:id="60" w:name="_Toc213208766"/>
      <w:bookmarkStart w:id="61" w:name="_Toc191803626"/>
      <w:bookmarkStart w:id="62" w:name="_Toc254790899"/>
      <w:bookmarkStart w:id="63" w:name="_Toc213755939"/>
      <w:bookmarkStart w:id="64" w:name="_Toc267060208"/>
      <w:bookmarkStart w:id="65" w:name="_Toc217891402"/>
      <w:bookmarkStart w:id="66" w:name="_Toc266868937"/>
      <w:bookmarkStart w:id="67" w:name="_Toc253066614"/>
      <w:bookmarkStart w:id="68" w:name="_Toc192664153"/>
      <w:bookmarkStart w:id="69" w:name="_Toc182372782"/>
      <w:bookmarkStart w:id="70" w:name="_Toc266870432"/>
      <w:bookmarkStart w:id="71" w:name="_Toc235438344"/>
      <w:bookmarkStart w:id="72" w:name="_Toc192663835"/>
      <w:bookmarkStart w:id="73" w:name="_Toc211917116"/>
      <w:bookmarkStart w:id="74" w:name="_Toc267060321"/>
      <w:bookmarkStart w:id="75" w:name="_Toc259692740"/>
      <w:bookmarkStart w:id="76" w:name="_Toc267060453"/>
      <w:bookmarkStart w:id="77" w:name="_Toc251613829"/>
      <w:bookmarkStart w:id="78" w:name="_Toc192996338"/>
      <w:bookmarkStart w:id="79" w:name="_Toc255975007"/>
      <w:bookmarkStart w:id="80" w:name="_Toc181436565"/>
      <w:bookmarkStart w:id="81" w:name="_Toc170798793"/>
      <w:bookmarkStart w:id="82" w:name="_Toc192663686"/>
      <w:bookmarkStart w:id="83" w:name="_Toc232302115"/>
      <w:bookmarkStart w:id="84" w:name="_Toc219800243"/>
      <w:bookmarkStart w:id="85" w:name="_Toc273178698"/>
      <w:bookmarkStart w:id="86" w:name="_Toc266870833"/>
      <w:bookmarkStart w:id="87" w:name="_Toc258401256"/>
      <w:bookmarkStart w:id="88" w:name="_Toc169332838"/>
      <w:bookmarkStart w:id="89" w:name="_Toc191783222"/>
      <w:bookmarkStart w:id="90" w:name="_Toc223146608"/>
      <w:bookmarkStart w:id="91" w:name="_Toc193165734"/>
      <w:bookmarkStart w:id="92" w:name="_Toc259692647"/>
      <w:bookmarkStart w:id="93" w:name="_Toc181436461"/>
      <w:bookmarkStart w:id="94" w:name="_Toc267059919"/>
      <w:bookmarkStart w:id="95" w:name="_Toc251586231"/>
      <w:bookmarkStart w:id="96" w:name="_Toc267059539"/>
      <w:bookmarkStart w:id="97" w:name="_Toc191789329"/>
      <w:bookmarkStart w:id="98" w:name="_Toc160880529"/>
      <w:bookmarkStart w:id="99" w:name="_Toc266870907"/>
      <w:bookmarkStart w:id="100" w:name="_Toc267059030"/>
      <w:bookmarkStart w:id="101" w:name="_Toc267059181"/>
      <w:bookmarkStart w:id="102" w:name="_Toc249325711"/>
      <w:bookmarkStart w:id="103" w:name="_Toc266868670"/>
      <w:bookmarkStart w:id="104" w:name="_Toc227058530"/>
      <w:bookmarkStart w:id="105" w:name="_Toc203355733"/>
      <w:bookmarkStart w:id="106" w:name="_Toc235437991"/>
      <w:bookmarkStart w:id="107" w:name="_Toc259520865"/>
      <w:bookmarkStart w:id="108" w:name="_Toc182805217"/>
      <w:bookmarkStart w:id="109" w:name="_Toc180302913"/>
      <w:bookmarkStart w:id="110" w:name="_Toc213756051"/>
      <w:bookmarkStart w:id="111" w:name="_Toc177985469"/>
      <w:bookmarkStart w:id="112" w:name="_Toc236021449"/>
      <w:bookmarkStart w:id="113" w:name="_Toc169332949"/>
      <w:bookmarkStart w:id="114" w:name="_Toc267059806"/>
      <w:bookmarkStart w:id="115" w:name="_Toc192996446"/>
    </w:p>
    <w:p>
      <w:pPr>
        <w:jc w:val="center"/>
        <w:outlineLvl w:val="1"/>
        <w:rPr>
          <w:rFonts w:hint="eastAsia" w:ascii="仿宋" w:hAnsi="仿宋" w:eastAsia="仿宋"/>
          <w:b/>
          <w:bCs/>
          <w:color w:val="auto"/>
          <w:sz w:val="24"/>
          <w:szCs w:val="24"/>
        </w:rPr>
      </w:pPr>
    </w:p>
    <w:p>
      <w:pPr>
        <w:jc w:val="center"/>
        <w:outlineLvl w:val="1"/>
        <w:rPr>
          <w:rFonts w:hint="eastAsia" w:ascii="仿宋" w:hAnsi="仿宋" w:eastAsia="仿宋"/>
          <w:b/>
          <w:bCs/>
          <w:color w:val="auto"/>
          <w:sz w:val="24"/>
          <w:szCs w:val="24"/>
        </w:rPr>
      </w:pPr>
    </w:p>
    <w:p>
      <w:pPr>
        <w:jc w:val="center"/>
        <w:outlineLvl w:val="1"/>
        <w:rPr>
          <w:rFonts w:hint="eastAsia" w:ascii="仿宋" w:hAnsi="仿宋" w:eastAsia="仿宋"/>
          <w:b/>
          <w:bCs/>
          <w:color w:val="auto"/>
          <w:sz w:val="24"/>
          <w:szCs w:val="24"/>
        </w:rPr>
      </w:pPr>
    </w:p>
    <w:p>
      <w:pPr>
        <w:jc w:val="center"/>
        <w:outlineLvl w:val="1"/>
        <w:rPr>
          <w:rFonts w:ascii="仿宋" w:hAnsi="仿宋" w:eastAsia="仿宋"/>
          <w:b/>
          <w:bCs/>
          <w:color w:val="auto"/>
          <w:sz w:val="24"/>
          <w:szCs w:val="24"/>
        </w:rPr>
      </w:pPr>
      <w:r>
        <w:rPr>
          <w:rFonts w:hint="eastAsia" w:ascii="仿宋" w:hAnsi="仿宋" w:eastAsia="仿宋"/>
          <w:b/>
          <w:bCs/>
          <w:color w:val="auto"/>
          <w:sz w:val="24"/>
          <w:szCs w:val="24"/>
        </w:rPr>
        <w:t>1、</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Pr>
          <w:rFonts w:hint="eastAsia" w:ascii="仿宋" w:hAnsi="仿宋" w:eastAsia="仿宋"/>
          <w:b/>
          <w:bCs/>
          <w:color w:val="auto"/>
          <w:sz w:val="24"/>
          <w:szCs w:val="24"/>
        </w:rPr>
        <w:t>询价响应函</w:t>
      </w:r>
    </w:p>
    <w:p>
      <w:pPr>
        <w:spacing w:after="0" w:line="480" w:lineRule="exact"/>
        <w:rPr>
          <w:rFonts w:hint="default" w:ascii="仿宋" w:hAnsi="仿宋" w:eastAsia="仿宋"/>
          <w:color w:val="auto"/>
          <w:sz w:val="24"/>
          <w:szCs w:val="24"/>
          <w:highlight w:val="yellow"/>
          <w:lang w:val="en-US" w:eastAsia="zh-CN"/>
        </w:rPr>
      </w:pPr>
      <w:r>
        <w:rPr>
          <w:rFonts w:hint="eastAsia" w:ascii="仿宋" w:hAnsi="仿宋" w:eastAsia="仿宋"/>
          <w:color w:val="auto"/>
          <w:sz w:val="24"/>
          <w:szCs w:val="24"/>
        </w:rPr>
        <w:t>致：</w:t>
      </w:r>
      <w:r>
        <w:rPr>
          <w:rFonts w:hint="eastAsia" w:ascii="仿宋" w:hAnsi="仿宋" w:eastAsia="仿宋"/>
          <w:color w:val="auto"/>
          <w:sz w:val="24"/>
          <w:szCs w:val="24"/>
          <w:highlight w:val="none"/>
          <w:lang w:val="en-US" w:eastAsia="zh-CN"/>
        </w:rPr>
        <w:t>中教集团广东四校</w:t>
      </w:r>
    </w:p>
    <w:p>
      <w:pPr>
        <w:spacing w:after="0" w:line="480" w:lineRule="exact"/>
        <w:rPr>
          <w:rFonts w:ascii="仿宋" w:hAnsi="仿宋" w:eastAsia="仿宋"/>
          <w:color w:val="auto"/>
          <w:sz w:val="24"/>
          <w:szCs w:val="24"/>
        </w:rPr>
      </w:pPr>
      <w:r>
        <w:rPr>
          <w:rFonts w:hint="eastAsia" w:ascii="仿宋" w:hAnsi="仿宋" w:eastAsia="仿宋"/>
          <w:color w:val="auto"/>
          <w:sz w:val="24"/>
          <w:szCs w:val="24"/>
        </w:rPr>
        <w:t xml:space="preserve">    根据贵学校编号为</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 xml:space="preserve"> 项目名称为</w:t>
      </w:r>
      <w:r>
        <w:rPr>
          <w:rFonts w:hint="eastAsia" w:ascii="仿宋" w:hAnsi="仿宋" w:eastAsia="仿宋"/>
          <w:color w:val="auto"/>
          <w:sz w:val="24"/>
          <w:szCs w:val="24"/>
          <w:u w:val="single"/>
        </w:rPr>
        <w:t xml:space="preserve">     </w:t>
      </w:r>
      <w:r>
        <w:rPr>
          <w:rFonts w:ascii="仿宋" w:hAnsi="仿宋" w:eastAsia="仿宋"/>
          <w:color w:val="auto"/>
          <w:sz w:val="24"/>
          <w:szCs w:val="24"/>
          <w:u w:val="single"/>
        </w:rPr>
        <w:t xml:space="preserve">  </w:t>
      </w:r>
      <w:r>
        <w:rPr>
          <w:rFonts w:hint="eastAsia" w:ascii="仿宋" w:hAnsi="仿宋" w:eastAsia="仿宋"/>
          <w:color w:val="auto"/>
          <w:sz w:val="24"/>
          <w:szCs w:val="24"/>
        </w:rPr>
        <w:t>的公开询价邀请，本签字代表</w:t>
      </w:r>
      <w:r>
        <w:rPr>
          <w:rFonts w:hint="eastAsia" w:ascii="仿宋" w:hAnsi="仿宋" w:eastAsia="仿宋"/>
          <w:color w:val="auto"/>
          <w:sz w:val="24"/>
          <w:szCs w:val="24"/>
          <w:u w:val="single"/>
        </w:rPr>
        <w:t xml:space="preserve"> </w:t>
      </w:r>
      <w:r>
        <w:rPr>
          <w:rFonts w:ascii="仿宋" w:hAnsi="仿宋" w:eastAsia="仿宋"/>
          <w:color w:val="auto"/>
          <w:sz w:val="24"/>
          <w:szCs w:val="24"/>
          <w:u w:val="single"/>
        </w:rPr>
        <w:t xml:space="preserve">        </w:t>
      </w:r>
      <w:r>
        <w:rPr>
          <w:rFonts w:hint="eastAsia" w:ascii="仿宋" w:hAnsi="仿宋" w:eastAsia="仿宋"/>
          <w:color w:val="auto"/>
          <w:sz w:val="24"/>
          <w:szCs w:val="24"/>
        </w:rPr>
        <w:t>（全名、职务）正式授权并代表我方</w:t>
      </w:r>
      <w:r>
        <w:rPr>
          <w:rFonts w:hint="eastAsia" w:ascii="仿宋" w:hAnsi="仿宋" w:eastAsia="仿宋"/>
          <w:color w:val="auto"/>
          <w:sz w:val="24"/>
          <w:szCs w:val="24"/>
          <w:u w:val="single"/>
        </w:rPr>
        <w:t xml:space="preserve"> </w:t>
      </w:r>
      <w:r>
        <w:rPr>
          <w:rFonts w:ascii="仿宋" w:hAnsi="仿宋" w:eastAsia="仿宋"/>
          <w:color w:val="auto"/>
          <w:sz w:val="24"/>
          <w:szCs w:val="24"/>
          <w:u w:val="single"/>
        </w:rPr>
        <w:t xml:space="preserve">             </w:t>
      </w:r>
      <w:r>
        <w:rPr>
          <w:rFonts w:hint="eastAsia" w:ascii="仿宋" w:hAnsi="仿宋" w:eastAsia="仿宋"/>
          <w:color w:val="auto"/>
          <w:sz w:val="24"/>
          <w:szCs w:val="24"/>
        </w:rPr>
        <w:t>（参与人公司名称）提交下述文件。</w:t>
      </w:r>
    </w:p>
    <w:p>
      <w:pPr>
        <w:spacing w:after="0" w:line="480" w:lineRule="exact"/>
        <w:ind w:firstLine="480" w:firstLineChars="200"/>
        <w:rPr>
          <w:rFonts w:ascii="仿宋" w:hAnsi="仿宋" w:eastAsia="仿宋"/>
          <w:color w:val="auto"/>
          <w:sz w:val="24"/>
          <w:szCs w:val="24"/>
        </w:rPr>
      </w:pPr>
      <w:r>
        <w:rPr>
          <w:rFonts w:hint="eastAsia" w:ascii="仿宋" w:hAnsi="仿宋" w:eastAsia="仿宋"/>
          <w:color w:val="auto"/>
          <w:sz w:val="24"/>
          <w:szCs w:val="24"/>
        </w:rPr>
        <w:t>(</w:t>
      </w:r>
      <w:r>
        <w:rPr>
          <w:rFonts w:ascii="仿宋" w:hAnsi="仿宋" w:eastAsia="仿宋"/>
          <w:color w:val="auto"/>
          <w:sz w:val="24"/>
          <w:szCs w:val="24"/>
        </w:rPr>
        <w:t>1</w:t>
      </w:r>
      <w:r>
        <w:rPr>
          <w:rFonts w:hint="eastAsia" w:ascii="仿宋" w:hAnsi="仿宋" w:eastAsia="仿宋"/>
          <w:color w:val="auto"/>
          <w:sz w:val="24"/>
          <w:szCs w:val="24"/>
        </w:rPr>
        <w:t>) 报价一览表</w:t>
      </w:r>
    </w:p>
    <w:p>
      <w:pPr>
        <w:spacing w:after="0" w:line="480" w:lineRule="exact"/>
        <w:ind w:firstLine="364" w:firstLineChars="152"/>
        <w:rPr>
          <w:rFonts w:ascii="仿宋" w:hAnsi="仿宋" w:eastAsia="仿宋"/>
          <w:color w:val="auto"/>
          <w:sz w:val="24"/>
          <w:szCs w:val="24"/>
        </w:rPr>
      </w:pPr>
      <w:r>
        <w:rPr>
          <w:rFonts w:hint="eastAsia" w:ascii="仿宋" w:hAnsi="仿宋" w:eastAsia="仿宋"/>
          <w:color w:val="auto"/>
          <w:sz w:val="24"/>
          <w:szCs w:val="24"/>
        </w:rPr>
        <w:t xml:space="preserve"> (</w:t>
      </w:r>
      <w:r>
        <w:rPr>
          <w:rFonts w:ascii="仿宋" w:hAnsi="仿宋" w:eastAsia="仿宋"/>
          <w:color w:val="auto"/>
          <w:sz w:val="24"/>
          <w:szCs w:val="24"/>
        </w:rPr>
        <w:t>2</w:t>
      </w:r>
      <w:r>
        <w:rPr>
          <w:rFonts w:hint="eastAsia" w:ascii="仿宋" w:hAnsi="仿宋" w:eastAsia="仿宋"/>
          <w:color w:val="auto"/>
          <w:sz w:val="24"/>
          <w:szCs w:val="24"/>
        </w:rPr>
        <w:t>) 参与人资质证明</w:t>
      </w:r>
    </w:p>
    <w:p>
      <w:pPr>
        <w:spacing w:after="0" w:line="480" w:lineRule="exact"/>
        <w:ind w:firstLine="480" w:firstLineChars="200"/>
        <w:rPr>
          <w:rFonts w:ascii="仿宋" w:hAnsi="仿宋" w:eastAsia="仿宋"/>
          <w:color w:val="auto"/>
          <w:sz w:val="24"/>
          <w:szCs w:val="24"/>
        </w:rPr>
      </w:pPr>
      <w:r>
        <w:rPr>
          <w:rFonts w:hint="eastAsia" w:ascii="仿宋" w:hAnsi="仿宋" w:eastAsia="仿宋"/>
          <w:color w:val="auto"/>
          <w:sz w:val="24"/>
          <w:szCs w:val="24"/>
        </w:rPr>
        <w:t>据此函，签字代表宣布同意如下：</w:t>
      </w:r>
    </w:p>
    <w:p>
      <w:pPr>
        <w:spacing w:after="0" w:line="480" w:lineRule="exact"/>
        <w:rPr>
          <w:rFonts w:ascii="仿宋" w:hAnsi="仿宋" w:eastAsia="仿宋"/>
          <w:color w:val="auto"/>
          <w:sz w:val="24"/>
          <w:szCs w:val="24"/>
        </w:rPr>
      </w:pPr>
      <w:r>
        <w:rPr>
          <w:rFonts w:hint="eastAsia" w:ascii="仿宋" w:hAnsi="仿宋" w:eastAsia="仿宋"/>
          <w:color w:val="auto"/>
          <w:sz w:val="24"/>
          <w:szCs w:val="24"/>
        </w:rPr>
        <w:t xml:space="preserve">    1.所附详细报价表中规定的应提供和交付的货物及服务报价总价（国内现场交货价）为人民币 </w:t>
      </w:r>
      <w:r>
        <w:rPr>
          <w:rFonts w:hint="eastAsia" w:ascii="仿宋" w:hAnsi="仿宋" w:eastAsia="仿宋"/>
          <w:color w:val="auto"/>
          <w:sz w:val="24"/>
          <w:szCs w:val="24"/>
          <w:u w:val="single"/>
        </w:rPr>
        <w:t xml:space="preserve">  </w:t>
      </w:r>
      <w:r>
        <w:rPr>
          <w:rFonts w:ascii="仿宋" w:hAnsi="仿宋" w:eastAsia="仿宋"/>
          <w:color w:val="auto"/>
          <w:sz w:val="24"/>
          <w:szCs w:val="24"/>
          <w:u w:val="single"/>
        </w:rPr>
        <w:t xml:space="preserve">     </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 xml:space="preserve">，即 </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（中文表述），交货期为</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 xml:space="preserve"> 天</w:t>
      </w:r>
      <w:r>
        <w:rPr>
          <w:rFonts w:ascii="仿宋" w:hAnsi="仿宋" w:eastAsia="仿宋"/>
          <w:color w:val="auto"/>
          <w:sz w:val="24"/>
          <w:szCs w:val="24"/>
        </w:rPr>
        <w:t xml:space="preserve"> </w:t>
      </w:r>
      <w:r>
        <w:rPr>
          <w:rFonts w:hint="eastAsia" w:ascii="仿宋" w:hAnsi="仿宋" w:eastAsia="仿宋"/>
          <w:color w:val="auto"/>
          <w:sz w:val="24"/>
          <w:szCs w:val="24"/>
        </w:rPr>
        <w:t>。</w:t>
      </w:r>
    </w:p>
    <w:p>
      <w:pPr>
        <w:spacing w:after="0" w:line="480" w:lineRule="exact"/>
        <w:ind w:firstLine="480" w:firstLineChars="200"/>
        <w:rPr>
          <w:rFonts w:ascii="仿宋" w:hAnsi="仿宋" w:eastAsia="仿宋"/>
          <w:color w:val="auto"/>
          <w:sz w:val="24"/>
          <w:szCs w:val="24"/>
        </w:rPr>
      </w:pPr>
      <w:r>
        <w:rPr>
          <w:rFonts w:hint="eastAsia" w:ascii="仿宋" w:hAnsi="仿宋" w:eastAsia="仿宋"/>
          <w:color w:val="auto"/>
          <w:sz w:val="24"/>
          <w:szCs w:val="24"/>
        </w:rPr>
        <w:t>2.同意参加本项目的报价，并已详细审查全部公开询价文件，包括修改文件（如有的话）和有关附件，将自行承担因对全部询价文件理解不正确或误解而产生的相应后果。</w:t>
      </w:r>
    </w:p>
    <w:p>
      <w:pPr>
        <w:spacing w:after="0" w:line="480" w:lineRule="exact"/>
        <w:rPr>
          <w:rFonts w:ascii="仿宋" w:hAnsi="仿宋" w:eastAsia="仿宋"/>
          <w:color w:val="auto"/>
          <w:sz w:val="24"/>
          <w:szCs w:val="24"/>
        </w:rPr>
      </w:pPr>
      <w:r>
        <w:rPr>
          <w:rFonts w:hint="eastAsia" w:ascii="仿宋" w:hAnsi="仿宋" w:eastAsia="仿宋"/>
          <w:color w:val="auto"/>
          <w:sz w:val="24"/>
          <w:szCs w:val="24"/>
        </w:rPr>
        <w:t xml:space="preserve">    3.保证遵守公开询价文件的全部规定，所提交的材料中所含的信息均为真实、准确、完整，且不具有任何误导性。</w:t>
      </w:r>
    </w:p>
    <w:p>
      <w:pPr>
        <w:spacing w:after="0" w:line="480" w:lineRule="exact"/>
        <w:rPr>
          <w:rFonts w:ascii="仿宋" w:hAnsi="仿宋" w:eastAsia="仿宋"/>
          <w:color w:val="auto"/>
          <w:sz w:val="24"/>
          <w:szCs w:val="24"/>
        </w:rPr>
      </w:pPr>
      <w:r>
        <w:rPr>
          <w:rFonts w:hint="eastAsia" w:ascii="仿宋" w:hAnsi="仿宋" w:eastAsia="仿宋"/>
          <w:color w:val="auto"/>
          <w:sz w:val="24"/>
          <w:szCs w:val="24"/>
        </w:rPr>
        <w:t xml:space="preserve">    4.同意按公开询价文件的规定履行合同责任和义务。</w:t>
      </w:r>
    </w:p>
    <w:p>
      <w:pPr>
        <w:spacing w:after="0" w:line="480" w:lineRule="exact"/>
        <w:ind w:firstLine="480" w:firstLineChars="200"/>
        <w:rPr>
          <w:rFonts w:ascii="仿宋" w:hAnsi="仿宋" w:eastAsia="仿宋"/>
          <w:color w:val="auto"/>
          <w:sz w:val="24"/>
          <w:szCs w:val="24"/>
        </w:rPr>
      </w:pPr>
      <w:r>
        <w:rPr>
          <w:rFonts w:ascii="仿宋" w:hAnsi="仿宋" w:eastAsia="仿宋"/>
          <w:color w:val="auto"/>
          <w:sz w:val="24"/>
          <w:szCs w:val="24"/>
        </w:rPr>
        <w:t>5</w:t>
      </w:r>
      <w:r>
        <w:rPr>
          <w:rFonts w:hint="eastAsia" w:ascii="仿宋" w:hAnsi="仿宋" w:eastAsia="仿宋"/>
          <w:color w:val="auto"/>
          <w:sz w:val="24"/>
          <w:szCs w:val="24"/>
        </w:rPr>
        <w:t>.同意提供按照贵方可能要求的与其公开询价有关的一切数据或资料</w:t>
      </w:r>
    </w:p>
    <w:p>
      <w:pPr>
        <w:spacing w:after="0" w:line="480" w:lineRule="exact"/>
        <w:ind w:firstLine="480" w:firstLineChars="200"/>
        <w:rPr>
          <w:rFonts w:ascii="仿宋" w:hAnsi="仿宋" w:eastAsia="仿宋"/>
          <w:color w:val="auto"/>
          <w:sz w:val="24"/>
          <w:szCs w:val="24"/>
        </w:rPr>
      </w:pPr>
      <w:r>
        <w:rPr>
          <w:rFonts w:ascii="仿宋" w:hAnsi="仿宋" w:eastAsia="仿宋"/>
          <w:color w:val="auto"/>
          <w:sz w:val="24"/>
          <w:szCs w:val="24"/>
        </w:rPr>
        <w:t>6.</w:t>
      </w:r>
      <w:r>
        <w:rPr>
          <w:rFonts w:hint="eastAsia" w:ascii="仿宋" w:hAnsi="仿宋" w:eastAsia="仿宋"/>
          <w:color w:val="auto"/>
          <w:sz w:val="24"/>
          <w:szCs w:val="24"/>
        </w:rPr>
        <w:t>完全了解本项目是贵方自有资金而非财政性资金组织的采购，并接受贵方按企业内部规定的标准进行的评定，以及完全理解贵方不一定要接受最低的报价作为成交价。</w:t>
      </w:r>
    </w:p>
    <w:p>
      <w:pPr>
        <w:spacing w:after="0" w:line="480" w:lineRule="exact"/>
        <w:ind w:firstLine="480" w:firstLineChars="200"/>
        <w:rPr>
          <w:rFonts w:ascii="仿宋" w:hAnsi="仿宋" w:eastAsia="仿宋"/>
          <w:color w:val="auto"/>
          <w:sz w:val="24"/>
          <w:szCs w:val="24"/>
        </w:rPr>
      </w:pPr>
    </w:p>
    <w:p>
      <w:pPr>
        <w:spacing w:after="0" w:line="480" w:lineRule="exact"/>
        <w:rPr>
          <w:rFonts w:ascii="仿宋" w:hAnsi="仿宋" w:eastAsia="仿宋"/>
          <w:color w:val="auto"/>
          <w:sz w:val="24"/>
          <w:szCs w:val="24"/>
          <w:u w:val="single"/>
        </w:rPr>
      </w:pPr>
      <w:r>
        <w:rPr>
          <w:rFonts w:hint="eastAsia" w:ascii="仿宋" w:hAnsi="仿宋" w:eastAsia="仿宋"/>
          <w:color w:val="auto"/>
          <w:sz w:val="24"/>
          <w:szCs w:val="24"/>
        </w:rPr>
        <w:t xml:space="preserve">      </w:t>
      </w:r>
    </w:p>
    <w:p>
      <w:pPr>
        <w:spacing w:after="0" w:line="480" w:lineRule="exact"/>
        <w:rPr>
          <w:rFonts w:ascii="仿宋" w:hAnsi="仿宋" w:eastAsia="仿宋"/>
          <w:color w:val="auto"/>
          <w:sz w:val="24"/>
          <w:szCs w:val="24"/>
          <w:u w:val="single"/>
        </w:rPr>
      </w:pPr>
      <w:r>
        <w:rPr>
          <w:rFonts w:hint="eastAsia" w:ascii="仿宋" w:hAnsi="仿宋" w:eastAsia="仿宋"/>
          <w:color w:val="auto"/>
          <w:sz w:val="24"/>
          <w:szCs w:val="24"/>
        </w:rPr>
        <w:t xml:space="preserve">      </w:t>
      </w:r>
    </w:p>
    <w:p>
      <w:pPr>
        <w:spacing w:after="0" w:line="480" w:lineRule="exact"/>
        <w:ind w:left="284" w:leftChars="129" w:firstLine="242" w:firstLineChars="101"/>
        <w:rPr>
          <w:rFonts w:ascii="仿宋" w:hAnsi="仿宋" w:eastAsia="仿宋"/>
          <w:color w:val="auto"/>
          <w:sz w:val="24"/>
          <w:szCs w:val="24"/>
          <w:u w:val="single"/>
        </w:rPr>
      </w:pPr>
      <w:r>
        <w:rPr>
          <w:rFonts w:hint="eastAsia" w:ascii="仿宋" w:hAnsi="仿宋" w:eastAsia="仿宋"/>
          <w:color w:val="auto"/>
          <w:sz w:val="24"/>
          <w:szCs w:val="24"/>
        </w:rPr>
        <w:t>参与人（公司全称并加盖公章）：</w:t>
      </w:r>
      <w:r>
        <w:rPr>
          <w:rFonts w:hint="eastAsia" w:ascii="仿宋" w:hAnsi="仿宋" w:eastAsia="仿宋"/>
          <w:color w:val="auto"/>
          <w:sz w:val="24"/>
          <w:szCs w:val="24"/>
          <w:u w:val="single"/>
        </w:rPr>
        <w:t xml:space="preserve">                       </w:t>
      </w:r>
    </w:p>
    <w:p>
      <w:pPr>
        <w:spacing w:after="0" w:line="480" w:lineRule="exact"/>
        <w:ind w:left="284" w:leftChars="129" w:firstLine="242" w:firstLineChars="101"/>
        <w:rPr>
          <w:rFonts w:ascii="仿宋" w:hAnsi="仿宋" w:eastAsia="仿宋"/>
          <w:color w:val="auto"/>
          <w:sz w:val="24"/>
          <w:szCs w:val="24"/>
          <w:u w:val="single"/>
        </w:rPr>
      </w:pPr>
      <w:r>
        <w:rPr>
          <w:rFonts w:hint="eastAsia" w:ascii="仿宋" w:hAnsi="仿宋" w:eastAsia="仿宋"/>
          <w:color w:val="auto"/>
          <w:sz w:val="24"/>
          <w:szCs w:val="24"/>
        </w:rPr>
        <w:t xml:space="preserve">参与人授权代表签字： </w:t>
      </w:r>
      <w:r>
        <w:rPr>
          <w:rFonts w:hint="eastAsia" w:ascii="仿宋" w:hAnsi="仿宋" w:eastAsia="仿宋"/>
          <w:color w:val="auto"/>
          <w:sz w:val="24"/>
          <w:szCs w:val="24"/>
          <w:u w:val="single"/>
        </w:rPr>
        <w:t xml:space="preserve">                </w:t>
      </w:r>
    </w:p>
    <w:p>
      <w:pPr>
        <w:spacing w:after="0" w:line="480" w:lineRule="exact"/>
        <w:ind w:left="284" w:leftChars="129" w:firstLine="242" w:firstLineChars="101"/>
        <w:rPr>
          <w:rFonts w:ascii="仿宋" w:hAnsi="仿宋" w:eastAsia="仿宋"/>
          <w:color w:val="auto"/>
          <w:sz w:val="24"/>
          <w:szCs w:val="24"/>
          <w:u w:val="single"/>
        </w:rPr>
      </w:pPr>
      <w:r>
        <w:rPr>
          <w:rFonts w:hint="eastAsia" w:ascii="仿宋" w:hAnsi="仿宋" w:eastAsia="仿宋"/>
          <w:color w:val="auto"/>
          <w:sz w:val="24"/>
          <w:szCs w:val="24"/>
        </w:rPr>
        <w:t xml:space="preserve">电 </w:t>
      </w:r>
      <w:r>
        <w:rPr>
          <w:rFonts w:ascii="仿宋" w:hAnsi="仿宋" w:eastAsia="仿宋"/>
          <w:color w:val="auto"/>
          <w:sz w:val="24"/>
          <w:szCs w:val="24"/>
        </w:rPr>
        <w:t xml:space="preserve"> </w:t>
      </w:r>
      <w:r>
        <w:rPr>
          <w:rFonts w:hint="eastAsia" w:ascii="仿宋" w:hAnsi="仿宋" w:eastAsia="仿宋"/>
          <w:color w:val="auto"/>
          <w:sz w:val="24"/>
          <w:szCs w:val="24"/>
        </w:rPr>
        <w:t xml:space="preserve">话： </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 xml:space="preserve"> </w:t>
      </w:r>
      <w:r>
        <w:rPr>
          <w:rFonts w:hint="eastAsia" w:ascii="仿宋" w:hAnsi="仿宋" w:eastAsia="仿宋"/>
          <w:b/>
          <w:bCs/>
          <w:color w:val="auto"/>
          <w:sz w:val="24"/>
          <w:szCs w:val="24"/>
        </w:rPr>
        <w:t>（手机号码）</w:t>
      </w:r>
    </w:p>
    <w:p>
      <w:pPr>
        <w:pStyle w:val="56"/>
        <w:spacing w:line="480" w:lineRule="exact"/>
        <w:ind w:firstLine="480" w:firstLineChars="200"/>
        <w:jc w:val="left"/>
        <w:outlineLvl w:val="9"/>
        <w:rPr>
          <w:rFonts w:ascii="仿宋" w:hAnsi="仿宋" w:eastAsia="仿宋"/>
          <w:color w:val="auto"/>
          <w:sz w:val="24"/>
          <w:szCs w:val="24"/>
        </w:rPr>
      </w:pPr>
      <w:r>
        <w:rPr>
          <w:rFonts w:hint="eastAsia" w:ascii="仿宋" w:hAnsi="仿宋" w:eastAsia="仿宋"/>
          <w:color w:val="auto"/>
          <w:sz w:val="24"/>
          <w:szCs w:val="24"/>
        </w:rPr>
        <w:t xml:space="preserve">日  期： </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 xml:space="preserve">年 </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 xml:space="preserve">月 </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日</w:t>
      </w:r>
    </w:p>
    <w:p>
      <w:pPr>
        <w:rPr>
          <w:rFonts w:ascii="仿宋" w:hAnsi="仿宋" w:eastAsia="仿宋" w:cs="Times New Roman"/>
          <w:color w:val="auto"/>
          <w:kern w:val="2"/>
          <w:sz w:val="24"/>
          <w:szCs w:val="24"/>
        </w:rPr>
      </w:pPr>
      <w:r>
        <w:rPr>
          <w:rFonts w:ascii="仿宋" w:hAnsi="仿宋" w:eastAsia="仿宋"/>
          <w:color w:val="auto"/>
          <w:sz w:val="24"/>
          <w:szCs w:val="24"/>
        </w:rPr>
        <w:br w:type="page"/>
      </w:r>
    </w:p>
    <w:p>
      <w:pPr>
        <w:jc w:val="center"/>
        <w:outlineLvl w:val="1"/>
        <w:rPr>
          <w:rFonts w:ascii="仿宋" w:hAnsi="仿宋" w:eastAsia="仿宋"/>
          <w:b/>
          <w:bCs/>
          <w:color w:val="auto"/>
          <w:sz w:val="24"/>
          <w:szCs w:val="24"/>
          <w:highlight w:val="none"/>
        </w:rPr>
      </w:pPr>
      <w:r>
        <w:rPr>
          <w:rFonts w:ascii="仿宋" w:hAnsi="仿宋" w:eastAsia="仿宋"/>
          <w:b/>
          <w:bCs/>
          <w:color w:val="auto"/>
          <w:sz w:val="24"/>
          <w:szCs w:val="24"/>
        </w:rPr>
        <w:t>2</w:t>
      </w:r>
      <w:r>
        <w:rPr>
          <w:rFonts w:hint="eastAsia" w:ascii="仿宋" w:hAnsi="仿宋" w:eastAsia="仿宋"/>
          <w:b/>
          <w:bCs/>
          <w:color w:val="auto"/>
          <w:sz w:val="24"/>
          <w:szCs w:val="24"/>
        </w:rPr>
        <w:t>、报价一览表</w:t>
      </w:r>
    </w:p>
    <w:p>
      <w:pPr>
        <w:spacing w:line="380" w:lineRule="exact"/>
        <w:ind w:left="147" w:leftChars="67"/>
        <w:rPr>
          <w:rFonts w:hint="default" w:ascii="仿宋" w:hAnsi="仿宋" w:eastAsia="仿宋"/>
          <w:color w:val="auto"/>
          <w:sz w:val="24"/>
          <w:szCs w:val="24"/>
          <w:highlight w:val="none"/>
          <w:lang w:val="en-US" w:eastAsia="zh-CN"/>
        </w:rPr>
      </w:pPr>
      <w:r>
        <w:rPr>
          <w:rFonts w:hint="eastAsia" w:ascii="仿宋" w:hAnsi="仿宋" w:eastAsia="仿宋"/>
          <w:color w:val="auto"/>
          <w:sz w:val="24"/>
          <w:szCs w:val="24"/>
          <w:highlight w:val="none"/>
        </w:rPr>
        <w:t>参与人：</w:t>
      </w:r>
      <w:r>
        <w:rPr>
          <w:rFonts w:hint="eastAsia" w:ascii="仿宋" w:hAnsi="仿宋" w:eastAsia="仿宋"/>
          <w:color w:val="auto"/>
          <w:sz w:val="24"/>
          <w:szCs w:val="24"/>
          <w:highlight w:val="none"/>
          <w:lang w:val="zh-CN"/>
        </w:rPr>
        <w:t>（公司全称并加盖公章）</w:t>
      </w:r>
      <w:r>
        <w:rPr>
          <w:rFonts w:hint="eastAsia" w:ascii="仿宋" w:hAnsi="仿宋" w:eastAsia="仿宋"/>
          <w:color w:val="auto"/>
          <w:sz w:val="24"/>
          <w:szCs w:val="24"/>
          <w:highlight w:val="none"/>
        </w:rPr>
        <w:t xml:space="preserve">                   项目编号：B-XJ2022-</w:t>
      </w:r>
      <w:r>
        <w:rPr>
          <w:rFonts w:hint="eastAsia" w:ascii="仿宋" w:hAnsi="仿宋" w:eastAsia="仿宋"/>
          <w:color w:val="auto"/>
          <w:sz w:val="24"/>
          <w:szCs w:val="24"/>
          <w:highlight w:val="none"/>
          <w:lang w:val="en-US" w:eastAsia="zh-CN"/>
        </w:rPr>
        <w:t>13</w:t>
      </w:r>
    </w:p>
    <w:p>
      <w:pPr>
        <w:spacing w:line="380" w:lineRule="exact"/>
        <w:ind w:left="147" w:leftChars="67"/>
        <w:rPr>
          <w:rFonts w:hint="eastAsia" w:ascii="仿宋" w:hAnsi="仿宋" w:eastAsia="仿宋"/>
          <w:color w:val="auto"/>
          <w:sz w:val="24"/>
          <w:szCs w:val="24"/>
          <w:highlight w:val="none"/>
          <w:lang w:val="en-US" w:eastAsia="zh-CN"/>
        </w:rPr>
      </w:pPr>
      <w:r>
        <w:rPr>
          <w:rFonts w:hint="eastAsia" w:ascii="仿宋" w:hAnsi="仿宋" w:eastAsia="仿宋"/>
          <w:color w:val="auto"/>
          <w:sz w:val="24"/>
          <w:szCs w:val="24"/>
          <w:highlight w:val="none"/>
        </w:rPr>
        <w:t>货币单位：</w:t>
      </w:r>
      <w:r>
        <w:rPr>
          <w:rFonts w:hint="eastAsia" w:ascii="仿宋" w:hAnsi="仿宋" w:eastAsia="仿宋"/>
          <w:color w:val="auto"/>
          <w:sz w:val="24"/>
          <w:szCs w:val="24"/>
          <w:highlight w:val="none"/>
          <w:lang w:val="en-US" w:eastAsia="zh-CN"/>
        </w:rPr>
        <w:t>元</w:t>
      </w:r>
    </w:p>
    <w:p>
      <w:pPr>
        <w:keepNext w:val="0"/>
        <w:keepLines w:val="0"/>
        <w:widowControl/>
        <w:suppressLineNumbers w:val="0"/>
        <w:jc w:val="center"/>
        <w:textAlignment w:val="center"/>
        <w:rPr>
          <w:rFonts w:hint="default" w:ascii="宋体" w:hAnsi="宋体" w:eastAsia="宋体" w:cs="宋体"/>
          <w:b/>
          <w:bCs/>
          <w:i w:val="0"/>
          <w:iCs w:val="0"/>
          <w:color w:val="auto"/>
          <w:kern w:val="0"/>
          <w:sz w:val="32"/>
          <w:szCs w:val="32"/>
          <w:highlight w:val="none"/>
          <w:u w:val="none"/>
          <w:lang w:val="en-US" w:eastAsia="zh-CN" w:bidi="ar"/>
        </w:rPr>
      </w:pPr>
      <w:r>
        <w:rPr>
          <w:rFonts w:hint="eastAsia" w:ascii="宋体" w:hAnsi="宋体" w:eastAsia="宋体" w:cs="宋体"/>
          <w:b/>
          <w:bCs/>
          <w:i w:val="0"/>
          <w:iCs w:val="0"/>
          <w:color w:val="auto"/>
          <w:kern w:val="0"/>
          <w:sz w:val="32"/>
          <w:szCs w:val="32"/>
          <w:highlight w:val="none"/>
          <w:u w:val="none"/>
          <w:lang w:val="en-US" w:eastAsia="zh-CN" w:bidi="ar"/>
        </w:rPr>
        <w:t>中教集团广东四校关于中秋教工慰问品采购清单</w:t>
      </w:r>
    </w:p>
    <w:p>
      <w:pPr>
        <w:spacing w:line="380" w:lineRule="exact"/>
        <w:ind w:left="147" w:leftChars="67"/>
        <w:jc w:val="right"/>
        <w:rPr>
          <w:rFonts w:hint="eastAsia" w:ascii="仿宋" w:hAnsi="仿宋" w:eastAsia="仿宋"/>
          <w:color w:val="auto"/>
          <w:sz w:val="24"/>
          <w:szCs w:val="24"/>
          <w:lang w:val="en-US" w:eastAsia="zh-CN"/>
        </w:rPr>
      </w:pPr>
      <w:r>
        <w:rPr>
          <w:rFonts w:hint="eastAsia" w:ascii="宋体" w:hAnsi="宋体" w:eastAsia="宋体" w:cs="宋体"/>
          <w:b/>
          <w:bCs/>
          <w:i w:val="0"/>
          <w:iCs w:val="0"/>
          <w:color w:val="auto"/>
          <w:kern w:val="0"/>
          <w:sz w:val="24"/>
          <w:szCs w:val="24"/>
          <w:u w:val="none"/>
          <w:lang w:val="en-US" w:eastAsia="zh-CN" w:bidi="ar"/>
        </w:rPr>
        <w:t>单位：元</w:t>
      </w:r>
    </w:p>
    <w:tbl>
      <w:tblPr>
        <w:tblStyle w:val="23"/>
        <w:tblpPr w:leftFromText="180" w:rightFromText="180" w:vertAnchor="text" w:tblpXSpec="center" w:tblpY="1"/>
        <w:tblOverlap w:val="never"/>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11"/>
        <w:gridCol w:w="1302"/>
        <w:gridCol w:w="1351"/>
        <w:gridCol w:w="1975"/>
        <w:gridCol w:w="888"/>
        <w:gridCol w:w="1125"/>
        <w:gridCol w:w="860"/>
        <w:gridCol w:w="13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3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序号</w:t>
            </w:r>
          </w:p>
        </w:tc>
        <w:tc>
          <w:tcPr>
            <w:tcW w:w="680"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产品名称</w:t>
            </w:r>
          </w:p>
        </w:tc>
        <w:tc>
          <w:tcPr>
            <w:tcW w:w="7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品牌    及规格</w:t>
            </w:r>
          </w:p>
        </w:tc>
        <w:tc>
          <w:tcPr>
            <w:tcW w:w="1031"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auto"/>
                <w:kern w:val="0"/>
                <w:sz w:val="24"/>
                <w:szCs w:val="24"/>
                <w:u w:val="none"/>
                <w:lang w:val="en-US" w:eastAsia="zh-CN" w:bidi="ar"/>
              </w:rPr>
            </w:pPr>
            <w:r>
              <w:rPr>
                <w:rFonts w:hint="eastAsia" w:ascii="宋体" w:hAnsi="宋体" w:eastAsia="宋体" w:cs="宋体"/>
                <w:b/>
                <w:bCs/>
                <w:i w:val="0"/>
                <w:iCs w:val="0"/>
                <w:color w:val="auto"/>
                <w:kern w:val="0"/>
                <w:sz w:val="24"/>
                <w:szCs w:val="24"/>
                <w:u w:val="none"/>
                <w:lang w:val="en-US" w:eastAsia="zh-CN" w:bidi="ar"/>
              </w:rPr>
              <w:t>参考图片</w:t>
            </w:r>
          </w:p>
        </w:tc>
        <w:tc>
          <w:tcPr>
            <w:tcW w:w="46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数量</w:t>
            </w:r>
          </w:p>
        </w:tc>
        <w:tc>
          <w:tcPr>
            <w:tcW w:w="58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单价</w:t>
            </w:r>
          </w:p>
        </w:tc>
        <w:tc>
          <w:tcPr>
            <w:tcW w:w="4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lang w:val="en-US" w:eastAsia="zh-CN"/>
              </w:rPr>
            </w:pPr>
            <w:r>
              <w:rPr>
                <w:rFonts w:hint="eastAsia" w:ascii="宋体" w:hAnsi="宋体" w:eastAsia="宋体" w:cs="宋体"/>
                <w:b/>
                <w:bCs/>
                <w:i w:val="0"/>
                <w:iCs w:val="0"/>
                <w:color w:val="auto"/>
                <w:sz w:val="24"/>
                <w:szCs w:val="24"/>
                <w:u w:val="none"/>
                <w:lang w:val="en-US" w:eastAsia="zh-CN"/>
              </w:rPr>
              <w:t>金额</w:t>
            </w:r>
          </w:p>
        </w:tc>
        <w:tc>
          <w:tcPr>
            <w:tcW w:w="7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到货时间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01" w:hRule="atLeast"/>
          <w:jc w:val="center"/>
        </w:trPr>
        <w:tc>
          <w:tcPr>
            <w:tcW w:w="3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80"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挂绿增城 丝苗米</w:t>
            </w:r>
          </w:p>
        </w:tc>
        <w:tc>
          <w:tcPr>
            <w:tcW w:w="705"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挂绿5kg</w:t>
            </w:r>
          </w:p>
        </w:tc>
        <w:tc>
          <w:tcPr>
            <w:tcW w:w="1031"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drawing>
                <wp:inline distT="0" distB="0" distL="114300" distR="114300">
                  <wp:extent cx="1054735" cy="1325880"/>
                  <wp:effectExtent l="0" t="0" r="12065" b="762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5"/>
                          <a:stretch>
                            <a:fillRect/>
                          </a:stretch>
                        </pic:blipFill>
                        <pic:spPr>
                          <a:xfrm>
                            <a:off x="0" y="0"/>
                            <a:ext cx="1054735" cy="1325880"/>
                          </a:xfrm>
                          <a:prstGeom prst="rect">
                            <a:avLst/>
                          </a:prstGeom>
                          <a:noFill/>
                          <a:ln w="9525">
                            <a:noFill/>
                          </a:ln>
                        </pic:spPr>
                      </pic:pic>
                    </a:graphicData>
                  </a:graphic>
                </wp:inline>
              </w:drawing>
            </w:r>
          </w:p>
        </w:tc>
        <w:tc>
          <w:tcPr>
            <w:tcW w:w="463" w:type="pct"/>
            <w:tcBorders>
              <w:tl2br w:val="nil"/>
              <w:tr2bl w:val="nil"/>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2943</w:t>
            </w:r>
          </w:p>
        </w:tc>
        <w:tc>
          <w:tcPr>
            <w:tcW w:w="587" w:type="pct"/>
            <w:tcBorders>
              <w:tl2br w:val="nil"/>
              <w:tr2bl w:val="nil"/>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449" w:type="pct"/>
            <w:tcBorders>
              <w:tl2br w:val="nil"/>
              <w:tr2bl w:val="nil"/>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710"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jc w:val="center"/>
        </w:trPr>
        <w:tc>
          <w:tcPr>
            <w:tcW w:w="3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680"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rPr>
              <w:t>鲁花压榨一级花生油</w:t>
            </w:r>
          </w:p>
        </w:tc>
        <w:tc>
          <w:tcPr>
            <w:tcW w:w="705"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rPr>
              <w:t>鲁花1.8L</w:t>
            </w:r>
          </w:p>
        </w:tc>
        <w:tc>
          <w:tcPr>
            <w:tcW w:w="1031"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drawing>
                <wp:inline distT="0" distB="0" distL="114300" distR="114300">
                  <wp:extent cx="988060" cy="1320800"/>
                  <wp:effectExtent l="0" t="0" r="254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6"/>
                          <a:stretch>
                            <a:fillRect/>
                          </a:stretch>
                        </pic:blipFill>
                        <pic:spPr>
                          <a:xfrm>
                            <a:off x="0" y="0"/>
                            <a:ext cx="988060" cy="1320800"/>
                          </a:xfrm>
                          <a:prstGeom prst="rect">
                            <a:avLst/>
                          </a:prstGeom>
                          <a:noFill/>
                          <a:ln w="9525">
                            <a:noFill/>
                          </a:ln>
                        </pic:spPr>
                      </pic:pic>
                    </a:graphicData>
                  </a:graphic>
                </wp:inline>
              </w:drawing>
            </w:r>
          </w:p>
        </w:tc>
        <w:tc>
          <w:tcPr>
            <w:tcW w:w="463" w:type="pct"/>
            <w:tcBorders>
              <w:tl2br w:val="nil"/>
              <w:tr2bl w:val="nil"/>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2943</w:t>
            </w:r>
          </w:p>
        </w:tc>
        <w:tc>
          <w:tcPr>
            <w:tcW w:w="587" w:type="pct"/>
            <w:tcBorders>
              <w:tl2br w:val="nil"/>
              <w:tr2bl w:val="nil"/>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449" w:type="pct"/>
            <w:tcBorders>
              <w:tl2br w:val="nil"/>
              <w:tr2bl w:val="nil"/>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710"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1" w:hRule="atLeast"/>
          <w:jc w:val="center"/>
        </w:trPr>
        <w:tc>
          <w:tcPr>
            <w:tcW w:w="3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680"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天牧利乐钻纯牛奶</w:t>
            </w:r>
          </w:p>
        </w:tc>
        <w:tc>
          <w:tcPr>
            <w:tcW w:w="705"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天牧圣品200ml*20盒</w:t>
            </w:r>
          </w:p>
        </w:tc>
        <w:tc>
          <w:tcPr>
            <w:tcW w:w="1031"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drawing>
                <wp:inline distT="0" distB="0" distL="114300" distR="114300">
                  <wp:extent cx="1116330" cy="1254125"/>
                  <wp:effectExtent l="0" t="0" r="1270" b="3175"/>
                  <wp:docPr id="1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pic:cNvPicPr>
                            <a:picLocks noChangeAspect="1"/>
                          </pic:cNvPicPr>
                        </pic:nvPicPr>
                        <pic:blipFill>
                          <a:blip r:embed="rId17"/>
                          <a:stretch>
                            <a:fillRect/>
                          </a:stretch>
                        </pic:blipFill>
                        <pic:spPr>
                          <a:xfrm>
                            <a:off x="0" y="0"/>
                            <a:ext cx="1116330" cy="1254125"/>
                          </a:xfrm>
                          <a:prstGeom prst="rect">
                            <a:avLst/>
                          </a:prstGeom>
                          <a:noFill/>
                          <a:ln w="9525">
                            <a:noFill/>
                          </a:ln>
                        </pic:spPr>
                      </pic:pic>
                    </a:graphicData>
                  </a:graphic>
                </wp:inline>
              </w:drawing>
            </w:r>
          </w:p>
        </w:tc>
        <w:tc>
          <w:tcPr>
            <w:tcW w:w="463" w:type="pct"/>
            <w:tcBorders>
              <w:tl2br w:val="nil"/>
              <w:tr2bl w:val="nil"/>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2943</w:t>
            </w:r>
          </w:p>
        </w:tc>
        <w:tc>
          <w:tcPr>
            <w:tcW w:w="587" w:type="pct"/>
            <w:tcBorders>
              <w:tl2br w:val="nil"/>
              <w:tr2bl w:val="nil"/>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449" w:type="pct"/>
            <w:tcBorders>
              <w:tl2br w:val="nil"/>
              <w:tr2bl w:val="nil"/>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710"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jc w:val="center"/>
        </w:trPr>
        <w:tc>
          <w:tcPr>
            <w:tcW w:w="3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680"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元朗蛋卷王</w:t>
            </w:r>
          </w:p>
        </w:tc>
        <w:tc>
          <w:tcPr>
            <w:tcW w:w="705"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元朗   908g/罐</w:t>
            </w:r>
          </w:p>
        </w:tc>
        <w:tc>
          <w:tcPr>
            <w:tcW w:w="1031"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drawing>
                <wp:inline distT="0" distB="0" distL="114300" distR="114300">
                  <wp:extent cx="1097280" cy="1148080"/>
                  <wp:effectExtent l="0" t="0" r="7620" b="7620"/>
                  <wp:docPr id="15" name="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ull"/>
                          <pic:cNvPicPr>
                            <a:picLocks noChangeAspect="1"/>
                          </pic:cNvPicPr>
                        </pic:nvPicPr>
                        <pic:blipFill>
                          <a:blip r:embed="rId18"/>
                          <a:stretch>
                            <a:fillRect/>
                          </a:stretch>
                        </pic:blipFill>
                        <pic:spPr>
                          <a:xfrm>
                            <a:off x="0" y="0"/>
                            <a:ext cx="1097280" cy="1148080"/>
                          </a:xfrm>
                          <a:prstGeom prst="rect">
                            <a:avLst/>
                          </a:prstGeom>
                          <a:noFill/>
                          <a:ln w="9525">
                            <a:noFill/>
                          </a:ln>
                        </pic:spPr>
                      </pic:pic>
                    </a:graphicData>
                  </a:graphic>
                </wp:inline>
              </w:drawing>
            </w:r>
          </w:p>
        </w:tc>
        <w:tc>
          <w:tcPr>
            <w:tcW w:w="463" w:type="pct"/>
            <w:tcBorders>
              <w:tl2br w:val="nil"/>
              <w:tr2bl w:val="nil"/>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817</w:t>
            </w:r>
          </w:p>
        </w:tc>
        <w:tc>
          <w:tcPr>
            <w:tcW w:w="587" w:type="pct"/>
            <w:tcBorders>
              <w:tl2br w:val="nil"/>
              <w:tr2bl w:val="nil"/>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449" w:type="pct"/>
            <w:tcBorders>
              <w:tl2br w:val="nil"/>
              <w:tr2bl w:val="nil"/>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710"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jc w:val="center"/>
        </w:trPr>
        <w:tc>
          <w:tcPr>
            <w:tcW w:w="3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680"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王老吉凉茶</w:t>
            </w:r>
          </w:p>
        </w:tc>
        <w:tc>
          <w:tcPr>
            <w:tcW w:w="705"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王老吉310ml*24罐</w:t>
            </w:r>
          </w:p>
        </w:tc>
        <w:tc>
          <w:tcPr>
            <w:tcW w:w="1031"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drawing>
                <wp:inline distT="0" distB="0" distL="114300" distR="114300">
                  <wp:extent cx="1088390" cy="1172210"/>
                  <wp:effectExtent l="0" t="0" r="3810" b="8890"/>
                  <wp:docPr id="16" name="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ull"/>
                          <pic:cNvPicPr>
                            <a:picLocks noChangeAspect="1"/>
                          </pic:cNvPicPr>
                        </pic:nvPicPr>
                        <pic:blipFill>
                          <a:blip r:embed="rId19"/>
                          <a:stretch>
                            <a:fillRect/>
                          </a:stretch>
                        </pic:blipFill>
                        <pic:spPr>
                          <a:xfrm>
                            <a:off x="0" y="0"/>
                            <a:ext cx="1088390" cy="1172210"/>
                          </a:xfrm>
                          <a:prstGeom prst="rect">
                            <a:avLst/>
                          </a:prstGeom>
                          <a:noFill/>
                          <a:ln w="9525">
                            <a:noFill/>
                          </a:ln>
                        </pic:spPr>
                      </pic:pic>
                    </a:graphicData>
                  </a:graphic>
                </wp:inline>
              </w:drawing>
            </w:r>
          </w:p>
        </w:tc>
        <w:tc>
          <w:tcPr>
            <w:tcW w:w="463" w:type="pct"/>
            <w:tcBorders>
              <w:tl2br w:val="nil"/>
              <w:tr2bl w:val="nil"/>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817</w:t>
            </w:r>
          </w:p>
        </w:tc>
        <w:tc>
          <w:tcPr>
            <w:tcW w:w="587" w:type="pct"/>
            <w:tcBorders>
              <w:tl2br w:val="nil"/>
              <w:tr2bl w:val="nil"/>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449" w:type="pct"/>
            <w:tcBorders>
              <w:tl2br w:val="nil"/>
              <w:tr2bl w:val="nil"/>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710"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jc w:val="center"/>
        </w:trPr>
        <w:tc>
          <w:tcPr>
            <w:tcW w:w="3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680"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安慕希酸奶</w:t>
            </w:r>
          </w:p>
        </w:tc>
        <w:tc>
          <w:tcPr>
            <w:tcW w:w="705"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伊利安慕希205g*16盒</w:t>
            </w:r>
          </w:p>
        </w:tc>
        <w:tc>
          <w:tcPr>
            <w:tcW w:w="1031"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drawing>
                <wp:inline distT="0" distB="0" distL="114300" distR="114300">
                  <wp:extent cx="1107440" cy="1263015"/>
                  <wp:effectExtent l="0" t="0" r="10160" b="698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0"/>
                          <a:stretch>
                            <a:fillRect/>
                          </a:stretch>
                        </pic:blipFill>
                        <pic:spPr>
                          <a:xfrm>
                            <a:off x="0" y="0"/>
                            <a:ext cx="1107440" cy="1263015"/>
                          </a:xfrm>
                          <a:prstGeom prst="rect">
                            <a:avLst/>
                          </a:prstGeom>
                          <a:noFill/>
                          <a:ln w="9525">
                            <a:noFill/>
                          </a:ln>
                        </pic:spPr>
                      </pic:pic>
                    </a:graphicData>
                  </a:graphic>
                </wp:inline>
              </w:drawing>
            </w:r>
          </w:p>
        </w:tc>
        <w:tc>
          <w:tcPr>
            <w:tcW w:w="463" w:type="pct"/>
            <w:tcBorders>
              <w:tl2br w:val="nil"/>
              <w:tr2bl w:val="nil"/>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817</w:t>
            </w:r>
          </w:p>
        </w:tc>
        <w:tc>
          <w:tcPr>
            <w:tcW w:w="587" w:type="pct"/>
            <w:tcBorders>
              <w:tl2br w:val="nil"/>
              <w:tr2bl w:val="nil"/>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449" w:type="pct"/>
            <w:tcBorders>
              <w:tl2br w:val="nil"/>
              <w:tr2bl w:val="nil"/>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710"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jc w:val="center"/>
        </w:trPr>
        <w:tc>
          <w:tcPr>
            <w:tcW w:w="371"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7</w:t>
            </w:r>
          </w:p>
        </w:tc>
        <w:tc>
          <w:tcPr>
            <w:tcW w:w="680" w:type="pct"/>
            <w:tcBorders>
              <w:tl2br w:val="nil"/>
              <w:tr2bl w:val="nil"/>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礼盒装月饼</w:t>
            </w:r>
          </w:p>
        </w:tc>
        <w:tc>
          <w:tcPr>
            <w:tcW w:w="705"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广州酒家 540克       （蛋黄纯白莲蓉月饼90克*1，粒粒红豆沙月饼90克*2，紫薯月饼90克*3）</w:t>
            </w:r>
          </w:p>
        </w:tc>
        <w:tc>
          <w:tcPr>
            <w:tcW w:w="1031" w:type="pct"/>
            <w:tcBorders>
              <w:tl2br w:val="nil"/>
              <w:tr2bl w:val="nil"/>
            </w:tcBorders>
            <w:shd w:val="clear" w:color="FFFFFF" w:fill="FFFFFF"/>
            <w:vAlign w:val="center"/>
          </w:tcPr>
          <w:p>
            <w:pPr>
              <w:keepNext w:val="0"/>
              <w:keepLines w:val="0"/>
              <w:widowControl/>
              <w:suppressLineNumbers w:val="0"/>
              <w:jc w:val="center"/>
              <w:textAlignment w:val="center"/>
            </w:pPr>
            <w:r>
              <w:rPr>
                <w:rFonts w:hint="eastAsia" w:eastAsiaTheme="minorEastAsia"/>
                <w:lang w:eastAsia="zh-CN"/>
              </w:rPr>
              <w:drawing>
                <wp:inline distT="0" distB="0" distL="114300" distR="114300">
                  <wp:extent cx="1316355" cy="1111250"/>
                  <wp:effectExtent l="0" t="0" r="6350" b="4445"/>
                  <wp:docPr id="2" name="图片 2" descr="721d03100cbc825f67adde2f3a88d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21d03100cbc825f67adde2f3a88d5c"/>
                          <pic:cNvPicPr>
                            <a:picLocks noChangeAspect="1"/>
                          </pic:cNvPicPr>
                        </pic:nvPicPr>
                        <pic:blipFill>
                          <a:blip r:embed="rId21"/>
                          <a:stretch>
                            <a:fillRect/>
                          </a:stretch>
                        </pic:blipFill>
                        <pic:spPr>
                          <a:xfrm rot="16200000">
                            <a:off x="0" y="0"/>
                            <a:ext cx="1316355" cy="1111250"/>
                          </a:xfrm>
                          <a:prstGeom prst="rect">
                            <a:avLst/>
                          </a:prstGeom>
                        </pic:spPr>
                      </pic:pic>
                    </a:graphicData>
                  </a:graphic>
                </wp:inline>
              </w:drawing>
            </w:r>
          </w:p>
        </w:tc>
        <w:tc>
          <w:tcPr>
            <w:tcW w:w="463" w:type="pct"/>
            <w:tcBorders>
              <w:tl2br w:val="nil"/>
              <w:tr2bl w:val="nil"/>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1438</w:t>
            </w:r>
          </w:p>
        </w:tc>
        <w:tc>
          <w:tcPr>
            <w:tcW w:w="587" w:type="pct"/>
            <w:tcBorders>
              <w:tl2br w:val="nil"/>
              <w:tr2bl w:val="nil"/>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449" w:type="pct"/>
            <w:tcBorders>
              <w:tl2br w:val="nil"/>
              <w:tr2bl w:val="nil"/>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710" w:type="pct"/>
            <w:tcBorders>
              <w:tl2br w:val="nil"/>
              <w:tr2bl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1" w:hRule="atLeast"/>
          <w:jc w:val="center"/>
        </w:trPr>
        <w:tc>
          <w:tcPr>
            <w:tcW w:w="2788" w:type="pct"/>
            <w:gridSpan w:val="4"/>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2"/>
                <w:szCs w:val="22"/>
                <w:u w:val="none"/>
                <w:lang w:val="en-US" w:eastAsia="zh-CN" w:bidi="ar"/>
              </w:rPr>
              <w:t>合计（含税）</w:t>
            </w:r>
          </w:p>
        </w:tc>
        <w:tc>
          <w:tcPr>
            <w:tcW w:w="2211" w:type="pct"/>
            <w:gridSpan w:val="4"/>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jc w:val="center"/>
              <w:textAlignment w:val="center"/>
              <w:rPr>
                <w:rFonts w:hint="eastAsia" w:ascii="宋体" w:hAnsi="宋体" w:eastAsia="宋体" w:cs="宋体"/>
                <w:i w:val="0"/>
                <w:iCs w:val="0"/>
                <w:color w:val="auto"/>
                <w:sz w:val="20"/>
                <w:szCs w:val="20"/>
                <w:u w:val="none"/>
              </w:rPr>
            </w:pPr>
          </w:p>
        </w:tc>
      </w:tr>
    </w:tbl>
    <w:p>
      <w:pPr>
        <w:spacing w:line="380" w:lineRule="exact"/>
        <w:rPr>
          <w:rFonts w:ascii="仿宋" w:hAnsi="仿宋" w:eastAsia="仿宋"/>
          <w:color w:val="auto"/>
          <w:sz w:val="24"/>
          <w:szCs w:val="24"/>
        </w:rPr>
      </w:pPr>
    </w:p>
    <w:p>
      <w:pPr>
        <w:spacing w:line="380" w:lineRule="exact"/>
        <w:ind w:left="147" w:leftChars="67"/>
        <w:rPr>
          <w:rFonts w:ascii="仿宋" w:hAnsi="仿宋" w:eastAsia="仿宋"/>
          <w:color w:val="auto"/>
          <w:sz w:val="24"/>
          <w:szCs w:val="24"/>
        </w:rPr>
      </w:pPr>
      <w:r>
        <w:rPr>
          <w:rFonts w:ascii="仿宋" w:hAnsi="仿宋" w:eastAsia="仿宋"/>
          <w:color w:val="auto"/>
          <w:sz w:val="24"/>
          <w:szCs w:val="24"/>
        </w:rPr>
        <w:t>注：1.如果按单价计算的结果与总价不一致,以单价为准修正总价。</w:t>
      </w:r>
    </w:p>
    <w:p>
      <w:pPr>
        <w:spacing w:line="380" w:lineRule="exact"/>
        <w:ind w:left="147" w:leftChars="67" w:firstLine="480" w:firstLineChars="200"/>
        <w:rPr>
          <w:rFonts w:ascii="仿宋" w:hAnsi="仿宋" w:eastAsia="仿宋"/>
          <w:color w:val="auto"/>
          <w:sz w:val="24"/>
          <w:szCs w:val="24"/>
        </w:rPr>
      </w:pPr>
      <w:r>
        <w:rPr>
          <w:rFonts w:ascii="仿宋" w:hAnsi="仿宋" w:eastAsia="仿宋"/>
          <w:color w:val="auto"/>
          <w:sz w:val="24"/>
          <w:szCs w:val="24"/>
        </w:rPr>
        <w:t>2.如果不提供详细参数和报价将视为没有实质性响应</w:t>
      </w:r>
      <w:r>
        <w:rPr>
          <w:rFonts w:hint="eastAsia" w:ascii="仿宋" w:hAnsi="仿宋" w:eastAsia="仿宋"/>
          <w:color w:val="auto"/>
          <w:sz w:val="24"/>
          <w:szCs w:val="24"/>
        </w:rPr>
        <w:t>公开询价</w:t>
      </w:r>
      <w:r>
        <w:rPr>
          <w:rFonts w:ascii="仿宋" w:hAnsi="仿宋" w:eastAsia="仿宋"/>
          <w:color w:val="auto"/>
          <w:sz w:val="24"/>
          <w:szCs w:val="24"/>
        </w:rPr>
        <w:t>文件。</w:t>
      </w:r>
    </w:p>
    <w:p>
      <w:pPr>
        <w:spacing w:after="0" w:line="300" w:lineRule="exact"/>
        <w:ind w:firstLine="480" w:firstLineChars="200"/>
        <w:jc w:val="right"/>
        <w:rPr>
          <w:rFonts w:ascii="仿宋" w:hAnsi="仿宋" w:eastAsia="仿宋"/>
          <w:color w:val="auto"/>
          <w:sz w:val="24"/>
          <w:szCs w:val="24"/>
          <w:lang w:val="zh-CN"/>
        </w:rPr>
      </w:pPr>
    </w:p>
    <w:p>
      <w:pPr>
        <w:spacing w:line="360" w:lineRule="auto"/>
        <w:ind w:right="1440"/>
        <w:jc w:val="right"/>
        <w:rPr>
          <w:rFonts w:ascii="仿宋" w:hAnsi="仿宋" w:eastAsia="仿宋"/>
          <w:color w:val="auto"/>
          <w:sz w:val="24"/>
          <w:szCs w:val="24"/>
          <w:lang w:val="zh-CN"/>
        </w:rPr>
      </w:pPr>
      <w:r>
        <w:rPr>
          <w:rFonts w:hint="eastAsia" w:ascii="仿宋" w:hAnsi="仿宋" w:eastAsia="仿宋"/>
          <w:color w:val="auto"/>
          <w:sz w:val="24"/>
          <w:szCs w:val="24"/>
          <w:lang w:val="zh-CN"/>
        </w:rPr>
        <w:t>参与人授权代表</w:t>
      </w:r>
      <w:r>
        <w:rPr>
          <w:rFonts w:ascii="仿宋" w:hAnsi="仿宋" w:eastAsia="仿宋"/>
          <w:color w:val="auto"/>
          <w:sz w:val="24"/>
          <w:szCs w:val="24"/>
          <w:lang w:val="zh-CN"/>
        </w:rPr>
        <w:t>（签字</w:t>
      </w:r>
      <w:r>
        <w:rPr>
          <w:rFonts w:hint="eastAsia" w:ascii="仿宋" w:hAnsi="仿宋" w:eastAsia="仿宋"/>
          <w:color w:val="auto"/>
          <w:sz w:val="24"/>
          <w:szCs w:val="24"/>
          <w:lang w:val="zh-CN"/>
        </w:rPr>
        <w:t>或盖章</w:t>
      </w:r>
      <w:r>
        <w:rPr>
          <w:rFonts w:ascii="仿宋" w:hAnsi="仿宋" w:eastAsia="仿宋"/>
          <w:color w:val="auto"/>
          <w:sz w:val="24"/>
          <w:szCs w:val="24"/>
          <w:lang w:val="zh-CN"/>
        </w:rPr>
        <w:t>）：</w:t>
      </w:r>
    </w:p>
    <w:p>
      <w:pPr>
        <w:spacing w:line="360" w:lineRule="auto"/>
        <w:ind w:right="1406"/>
        <w:jc w:val="right"/>
        <w:rPr>
          <w:rFonts w:ascii="仿宋" w:hAnsi="仿宋" w:eastAsia="仿宋"/>
          <w:color w:val="auto"/>
          <w:sz w:val="24"/>
          <w:szCs w:val="24"/>
          <w:lang w:val="zh-CN"/>
        </w:rPr>
        <w:sectPr>
          <w:headerReference r:id="rId11" w:type="first"/>
          <w:headerReference r:id="rId10" w:type="default"/>
          <w:footerReference r:id="rId12" w:type="default"/>
          <w:type w:val="continuous"/>
          <w:pgSz w:w="11906" w:h="16838"/>
          <w:pgMar w:top="1440" w:right="1416" w:bottom="1440" w:left="1134"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r>
        <w:rPr>
          <w:rFonts w:hint="eastAsia" w:ascii="仿宋" w:hAnsi="仿宋" w:eastAsia="仿宋"/>
          <w:color w:val="auto"/>
          <w:sz w:val="24"/>
          <w:szCs w:val="24"/>
          <w:lang w:val="zh-CN"/>
        </w:rPr>
        <w:t xml:space="preserve">日 </w:t>
      </w:r>
      <w:r>
        <w:rPr>
          <w:rFonts w:ascii="仿宋" w:hAnsi="仿宋" w:eastAsia="仿宋"/>
          <w:color w:val="auto"/>
          <w:sz w:val="24"/>
          <w:szCs w:val="24"/>
          <w:lang w:val="zh-CN"/>
        </w:rPr>
        <w:t xml:space="preserve">        </w:t>
      </w:r>
      <w:r>
        <w:rPr>
          <w:rFonts w:hint="eastAsia" w:ascii="仿宋" w:hAnsi="仿宋" w:eastAsia="仿宋"/>
          <w:color w:val="auto"/>
          <w:sz w:val="24"/>
          <w:szCs w:val="24"/>
          <w:lang w:val="zh-CN"/>
        </w:rPr>
        <w:t>期：</w:t>
      </w:r>
      <w:bookmarkStart w:id="116" w:name="_Toc266870839"/>
      <w:bookmarkStart w:id="117" w:name="_Toc203355738"/>
      <w:bookmarkStart w:id="118" w:name="_Toc211917121"/>
      <w:bookmarkStart w:id="119" w:name="_Toc191783227"/>
      <w:bookmarkStart w:id="120" w:name="_Toc169332843"/>
      <w:bookmarkStart w:id="121" w:name="_Toc213208771"/>
      <w:bookmarkStart w:id="122" w:name="_Toc251586241"/>
      <w:bookmarkStart w:id="123" w:name="_Toc182372787"/>
      <w:bookmarkStart w:id="124" w:name="_Toc227058536"/>
      <w:bookmarkStart w:id="125" w:name="_Toc258401265"/>
      <w:bookmarkStart w:id="126" w:name="_Toc235438352"/>
      <w:bookmarkStart w:id="127" w:name="_Toc253066624"/>
      <w:bookmarkStart w:id="128" w:name="_Toc259692656"/>
      <w:bookmarkStart w:id="129" w:name="_Toc230071153"/>
      <w:bookmarkStart w:id="130" w:name="_Toc266868679"/>
      <w:bookmarkStart w:id="131" w:name="_Toc217891408"/>
      <w:bookmarkStart w:id="132" w:name="_Toc259520874"/>
      <w:bookmarkStart w:id="133" w:name="_Toc180302918"/>
      <w:bookmarkStart w:id="134" w:name="_Toc267060326"/>
      <w:bookmarkStart w:id="135" w:name="_Toc192996343"/>
      <w:bookmarkStart w:id="136" w:name="_Toc267059544"/>
      <w:bookmarkStart w:id="137" w:name="_Toc160880165"/>
      <w:bookmarkStart w:id="138" w:name="_Toc259692749"/>
      <w:bookmarkStart w:id="139" w:name="_Toc251613839"/>
      <w:bookmarkStart w:id="140" w:name="_Toc254790909"/>
      <w:bookmarkStart w:id="141" w:name="_Toc267059035"/>
      <w:bookmarkStart w:id="142" w:name="_Toc191789334"/>
      <w:bookmarkStart w:id="143" w:name="_Toc213755945"/>
      <w:bookmarkStart w:id="144" w:name="_Toc267060461"/>
      <w:bookmarkStart w:id="145" w:name="_Toc192663840"/>
      <w:bookmarkStart w:id="146" w:name="_Toc170798798"/>
      <w:bookmarkStart w:id="147" w:name="_Toc181436570"/>
      <w:bookmarkStart w:id="148" w:name="_Toc192663691"/>
      <w:bookmarkStart w:id="149" w:name="_Toc273178703"/>
      <w:bookmarkStart w:id="150" w:name="_Toc160880534"/>
      <w:bookmarkStart w:id="151" w:name="_Toc191803631"/>
      <w:bookmarkStart w:id="152" w:name="_Toc267060076"/>
      <w:bookmarkStart w:id="153" w:name="_Toc193165739"/>
      <w:bookmarkStart w:id="154" w:name="_Toc267059186"/>
      <w:bookmarkStart w:id="155" w:name="_Toc193160453"/>
      <w:bookmarkStart w:id="156" w:name="_Toc192996451"/>
      <w:bookmarkStart w:id="157" w:name="_Toc169332954"/>
      <w:bookmarkStart w:id="158" w:name="_Toc266870441"/>
      <w:bookmarkStart w:id="159" w:name="_Toc213756001"/>
      <w:bookmarkStart w:id="160" w:name="_Toc213755864"/>
      <w:bookmarkStart w:id="161" w:name="_Toc235437998"/>
      <w:bookmarkStart w:id="162" w:name="_Toc236021457"/>
      <w:bookmarkStart w:id="163" w:name="_Toc267060216"/>
      <w:bookmarkStart w:id="164" w:name="_Toc191802695"/>
      <w:bookmarkStart w:id="165" w:name="_Toc232302122"/>
      <w:bookmarkStart w:id="166" w:name="_Toc255975016"/>
      <w:bookmarkStart w:id="167" w:name="_Toc225669328"/>
      <w:bookmarkStart w:id="168" w:name="_Toc213756057"/>
      <w:bookmarkStart w:id="169" w:name="_Toc182805222"/>
      <w:bookmarkStart w:id="170" w:name="_Toc249325720"/>
      <w:bookmarkStart w:id="171" w:name="_Toc266868943"/>
      <w:bookmarkStart w:id="172" w:name="_Toc192664158"/>
      <w:bookmarkStart w:id="173" w:name="_Toc219800249"/>
      <w:bookmarkStart w:id="174" w:name="_Toc266870916"/>
      <w:bookmarkStart w:id="175" w:name="_Toc181436466"/>
      <w:bookmarkStart w:id="176" w:name="_Toc267059658"/>
      <w:bookmarkStart w:id="177" w:name="_Toc267059924"/>
      <w:bookmarkStart w:id="178" w:name="_Toc223146614"/>
      <w:bookmarkStart w:id="179" w:name="_Toc177985474"/>
      <w:bookmarkStart w:id="180" w:name="_Toc235438281"/>
      <w:bookmarkStart w:id="181" w:name="_Toc267059811"/>
    </w:p>
    <w:p>
      <w:pPr>
        <w:jc w:val="center"/>
        <w:outlineLvl w:val="1"/>
        <w:rPr>
          <w:rFonts w:ascii="仿宋" w:hAnsi="仿宋" w:eastAsia="仿宋"/>
          <w:b/>
          <w:bCs/>
          <w:color w:val="auto"/>
          <w:sz w:val="24"/>
          <w:szCs w:val="24"/>
        </w:rPr>
      </w:pPr>
      <w:r>
        <w:rPr>
          <w:rFonts w:ascii="仿宋" w:hAnsi="仿宋" w:eastAsia="仿宋"/>
          <w:b/>
          <w:bCs/>
          <w:color w:val="auto"/>
          <w:sz w:val="24"/>
          <w:szCs w:val="24"/>
        </w:rPr>
        <w:t>3</w:t>
      </w:r>
      <w:r>
        <w:rPr>
          <w:rFonts w:hint="eastAsia" w:ascii="仿宋" w:hAnsi="仿宋" w:eastAsia="仿宋"/>
          <w:b/>
          <w:bCs/>
          <w:color w:val="auto"/>
          <w:sz w:val="24"/>
          <w:szCs w:val="24"/>
        </w:rPr>
        <w:t>、</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Pr>
          <w:rFonts w:hint="eastAsia" w:ascii="仿宋" w:hAnsi="仿宋" w:eastAsia="仿宋"/>
          <w:b/>
          <w:bCs/>
          <w:color w:val="auto"/>
          <w:sz w:val="24"/>
          <w:szCs w:val="24"/>
        </w:rPr>
        <w:t>参与人资质材料</w:t>
      </w:r>
    </w:p>
    <w:p>
      <w:pPr>
        <w:pStyle w:val="39"/>
        <w:rPr>
          <w:color w:val="auto"/>
          <w:sz w:val="24"/>
          <w:szCs w:val="24"/>
        </w:rPr>
      </w:pPr>
    </w:p>
    <w:p>
      <w:pPr>
        <w:spacing w:after="0" w:line="500" w:lineRule="exact"/>
        <w:rPr>
          <w:rFonts w:ascii="仿宋" w:hAnsi="仿宋" w:eastAsia="仿宋"/>
          <w:color w:val="auto"/>
          <w:sz w:val="24"/>
          <w:szCs w:val="24"/>
        </w:rPr>
      </w:pPr>
      <w:r>
        <w:rPr>
          <w:rFonts w:hint="eastAsia" w:ascii="仿宋" w:hAnsi="仿宋" w:eastAsia="仿宋"/>
          <w:color w:val="auto"/>
          <w:sz w:val="24"/>
          <w:szCs w:val="24"/>
        </w:rPr>
        <w:t>参与人需要提供以下材料：</w:t>
      </w:r>
    </w:p>
    <w:p>
      <w:pPr>
        <w:pStyle w:val="54"/>
        <w:numPr>
          <w:ilvl w:val="0"/>
          <w:numId w:val="8"/>
        </w:numPr>
        <w:spacing w:after="0" w:line="500" w:lineRule="exact"/>
        <w:ind w:firstLineChars="0"/>
        <w:rPr>
          <w:rFonts w:ascii="仿宋" w:hAnsi="仿宋" w:eastAsia="仿宋"/>
          <w:color w:val="auto"/>
          <w:sz w:val="24"/>
          <w:szCs w:val="24"/>
        </w:rPr>
      </w:pPr>
      <w:r>
        <w:rPr>
          <w:rFonts w:hint="eastAsia" w:ascii="仿宋" w:hAnsi="仿宋" w:eastAsia="仿宋"/>
          <w:color w:val="auto"/>
          <w:sz w:val="24"/>
          <w:szCs w:val="24"/>
        </w:rPr>
        <w:t>营业执照复印件</w:t>
      </w:r>
    </w:p>
    <w:p>
      <w:pPr>
        <w:pStyle w:val="54"/>
        <w:numPr>
          <w:ilvl w:val="0"/>
          <w:numId w:val="8"/>
        </w:numPr>
        <w:spacing w:after="0" w:line="500" w:lineRule="exact"/>
        <w:ind w:firstLineChars="0"/>
        <w:rPr>
          <w:rFonts w:ascii="仿宋" w:hAnsi="仿宋" w:eastAsia="仿宋"/>
          <w:color w:val="auto"/>
          <w:sz w:val="24"/>
          <w:szCs w:val="24"/>
        </w:rPr>
      </w:pPr>
      <w:r>
        <w:rPr>
          <w:rFonts w:hint="eastAsia" w:ascii="仿宋" w:hAnsi="仿宋" w:eastAsia="仿宋"/>
          <w:color w:val="auto"/>
          <w:sz w:val="24"/>
          <w:szCs w:val="24"/>
        </w:rPr>
        <w:t>授权经销商或代理商证明材料复印件</w:t>
      </w:r>
    </w:p>
    <w:p>
      <w:pPr>
        <w:pStyle w:val="54"/>
        <w:numPr>
          <w:ilvl w:val="0"/>
          <w:numId w:val="8"/>
        </w:numPr>
        <w:spacing w:after="0" w:line="500" w:lineRule="exact"/>
        <w:ind w:firstLineChars="0"/>
        <w:rPr>
          <w:rFonts w:ascii="仿宋" w:hAnsi="仿宋" w:eastAsia="仿宋"/>
          <w:color w:val="auto"/>
          <w:sz w:val="24"/>
          <w:szCs w:val="24"/>
        </w:rPr>
      </w:pPr>
      <w:r>
        <w:rPr>
          <w:rFonts w:hint="eastAsia" w:ascii="仿宋" w:hAnsi="仿宋" w:eastAsia="仿宋"/>
          <w:color w:val="auto"/>
          <w:sz w:val="24"/>
          <w:szCs w:val="24"/>
        </w:rPr>
        <w:t>质保期和售后服务承诺书（参与人自行起草）</w:t>
      </w:r>
    </w:p>
    <w:p>
      <w:pPr>
        <w:spacing w:line="380" w:lineRule="exact"/>
        <w:rPr>
          <w:rFonts w:ascii="仿宋" w:hAnsi="仿宋" w:eastAsia="仿宋"/>
          <w:color w:val="auto"/>
          <w:sz w:val="24"/>
          <w:szCs w:val="24"/>
        </w:rPr>
      </w:pPr>
    </w:p>
    <w:p>
      <w:pPr>
        <w:spacing w:line="380" w:lineRule="exact"/>
        <w:rPr>
          <w:rFonts w:ascii="仿宋" w:hAnsi="仿宋" w:eastAsia="仿宋"/>
          <w:b/>
          <w:bCs/>
          <w:color w:val="auto"/>
          <w:sz w:val="24"/>
          <w:szCs w:val="24"/>
        </w:rPr>
      </w:pPr>
      <w:r>
        <w:rPr>
          <w:rFonts w:hint="eastAsia" w:ascii="仿宋" w:hAnsi="仿宋" w:eastAsia="仿宋"/>
          <w:b/>
          <w:bCs/>
          <w:color w:val="auto"/>
          <w:sz w:val="24"/>
          <w:szCs w:val="24"/>
        </w:rPr>
        <w:t>以上材料复印件须加盖参与人公司公章，并与报价一览表一同密封</w:t>
      </w:r>
    </w:p>
    <w:p>
      <w:pPr>
        <w:spacing w:line="380" w:lineRule="exact"/>
        <w:rPr>
          <w:rFonts w:ascii="仿宋" w:hAnsi="仿宋" w:eastAsia="仿宋"/>
          <w:color w:val="auto"/>
          <w:sz w:val="24"/>
          <w:szCs w:val="24"/>
        </w:rPr>
      </w:pPr>
    </w:p>
    <w:p>
      <w:pPr>
        <w:spacing w:line="380" w:lineRule="exact"/>
        <w:rPr>
          <w:rFonts w:ascii="仿宋" w:hAnsi="仿宋" w:eastAsia="仿宋"/>
          <w:color w:val="auto"/>
          <w:sz w:val="24"/>
          <w:szCs w:val="24"/>
        </w:rPr>
      </w:pPr>
    </w:p>
    <w:p>
      <w:pPr>
        <w:spacing w:line="380" w:lineRule="exact"/>
        <w:rPr>
          <w:rFonts w:ascii="仿宋" w:hAnsi="仿宋" w:eastAsia="仿宋"/>
          <w:color w:val="auto"/>
          <w:sz w:val="24"/>
          <w:szCs w:val="24"/>
        </w:rPr>
      </w:pPr>
    </w:p>
    <w:sectPr>
      <w:pgSz w:w="11906" w:h="16838"/>
      <w:pgMar w:top="1440" w:right="1416" w:bottom="1440" w:left="1134" w:header="851" w:footer="992" w:gutter="0"/>
      <w:pgBorders>
        <w:top w:val="none" w:sz="0" w:space="0"/>
        <w:left w:val="none" w:sz="0" w:space="0"/>
        <w:bottom w:val="none" w:sz="0" w:space="0"/>
        <w:right w:val="none" w:sz="0" w:space="0"/>
      </w:pgBorders>
      <w:pgNumType w:fmt="decimal"/>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entury Gothic">
    <w:panose1 w:val="020B0502020202020204"/>
    <w:charset w:val="00"/>
    <w:family w:val="swiss"/>
    <w:pitch w:val="default"/>
    <w:sig w:usb0="00000287" w:usb1="00000000" w:usb2="00000000" w:usb3="00000000" w:csb0="2000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w:t>
                          </w:r>
                          <w:r>
                            <w:fldChar w:fldCharType="end"/>
                          </w:r>
                          <w:r>
                            <w:t xml:space="preserve"> / </w:t>
                          </w:r>
                          <w:r>
                            <w:fldChar w:fldCharType="begin"/>
                          </w:r>
                          <w:r>
                            <w:instrText xml:space="preserve"> NUMPAGES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w:t>
                    </w:r>
                    <w:r>
                      <w:fldChar w:fldCharType="end"/>
                    </w:r>
                    <w:r>
                      <w:t xml:space="preserve"> / </w:t>
                    </w:r>
                    <w:r>
                      <w:fldChar w:fldCharType="begin"/>
                    </w:r>
                    <w:r>
                      <w:instrText xml:space="preserve"> NUMPAGES  \* MERGEFORMAT </w:instrText>
                    </w:r>
                    <w:r>
                      <w:fldChar w:fldCharType="separate"/>
                    </w:r>
                    <w:r>
                      <w:t>11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sz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jc w:val="center"/>
                          </w:pPr>
                          <w:r>
                            <w:fldChar w:fldCharType="begin"/>
                          </w:r>
                          <w:r>
                            <w:instrText xml:space="preserve"> PAGE  \* MERGEFORMAT </w:instrText>
                          </w:r>
                          <w:r>
                            <w:fldChar w:fldCharType="separate"/>
                          </w:r>
                          <w:r>
                            <w:t>8</w:t>
                          </w:r>
                          <w:r>
                            <w:fldChar w:fldCharType="end"/>
                          </w:r>
                          <w:r>
                            <w:t xml:space="preserve"> / </w:t>
                          </w:r>
                          <w:r>
                            <w:fldChar w:fldCharType="begin"/>
                          </w:r>
                          <w:r>
                            <w:instrText xml:space="preserve"> NUMPAGES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6"/>
                      <w:jc w:val="center"/>
                    </w:pPr>
                    <w:r>
                      <w:fldChar w:fldCharType="begin"/>
                    </w:r>
                    <w:r>
                      <w:instrText xml:space="preserve"> PAGE  \* MERGEFORMAT </w:instrText>
                    </w:r>
                    <w:r>
                      <w:fldChar w:fldCharType="separate"/>
                    </w:r>
                    <w:r>
                      <w:t>8</w:t>
                    </w:r>
                    <w:r>
                      <w:fldChar w:fldCharType="end"/>
                    </w:r>
                    <w:r>
                      <w:t xml:space="preserve"> / </w:t>
                    </w:r>
                    <w:r>
                      <w:fldChar w:fldCharType="begin"/>
                    </w:r>
                    <w:r>
                      <w:instrText xml:space="preserve"> NUMPAGES  \* MERGEFORMAT </w:instrText>
                    </w:r>
                    <w:r>
                      <w:fldChar w:fldCharType="separate"/>
                    </w:r>
                    <w:r>
                      <w:t>11</w:t>
                    </w:r>
                    <w:r>
                      <w:fldChar w:fldCharType="end"/>
                    </w:r>
                  </w:p>
                </w:txbxContent>
              </v:textbox>
            </v:shape>
          </w:pict>
        </mc:Fallback>
      </mc:AlternateContent>
    </w:r>
  </w:p>
  <w:sdt>
    <w:sdtPr>
      <w:id w:val="-467357217"/>
      <w:docPartObj>
        <w:docPartGallery w:val="autotext"/>
      </w:docPartObj>
    </w:sdtPr>
    <w:sdtContent>
      <w:sdt>
        <w:sdtPr>
          <w:id w:val="455225834"/>
          <w:docPartObj>
            <w:docPartGallery w:val="autotext"/>
          </w:docPartObj>
        </w:sdtPr>
        <w:sdtContent>
          <w:p>
            <w:pPr>
              <w:pStyle w:val="16"/>
              <w:jc w:val="center"/>
              <w:rPr>
                <w:b/>
                <w:bCs/>
                <w:sz w:val="24"/>
                <w:szCs w:val="24"/>
              </w:rPr>
            </w:pPr>
          </w:p>
          <w:p>
            <w:pPr>
              <w:pStyle w:val="16"/>
              <w:jc w:val="center"/>
            </w:pP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2" w:lineRule="auto"/>
      </w:pPr>
      <w:r>
        <w:separator/>
      </w:r>
    </w:p>
  </w:footnote>
  <w:footnote w:type="continuationSeparator" w:id="1">
    <w:p>
      <w:pPr>
        <w:spacing w:before="0" w:after="0" w:line="252"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drawing>
        <wp:anchor distT="0" distB="0" distL="114300" distR="114300" simplePos="0" relativeHeight="251662336" behindDoc="1" locked="0" layoutInCell="1" allowOverlap="1">
          <wp:simplePos x="0" y="0"/>
          <wp:positionH relativeFrom="page">
            <wp:posOffset>2233295</wp:posOffset>
          </wp:positionH>
          <wp:positionV relativeFrom="page">
            <wp:posOffset>228600</wp:posOffset>
          </wp:positionV>
          <wp:extent cx="3070225" cy="45910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070225" cy="45910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D88571"/>
    <w:multiLevelType w:val="singleLevel"/>
    <w:tmpl w:val="81D88571"/>
    <w:lvl w:ilvl="0" w:tentative="0">
      <w:start w:val="1"/>
      <w:numFmt w:val="decimal"/>
      <w:lvlText w:val="(%1)"/>
      <w:lvlJc w:val="left"/>
      <w:pPr>
        <w:ind w:left="425" w:hanging="425"/>
      </w:pPr>
      <w:rPr>
        <w:rFonts w:hint="default"/>
      </w:rPr>
    </w:lvl>
  </w:abstractNum>
  <w:abstractNum w:abstractNumId="1">
    <w:nsid w:val="21CB522A"/>
    <w:multiLevelType w:val="singleLevel"/>
    <w:tmpl w:val="21CB522A"/>
    <w:lvl w:ilvl="0" w:tentative="0">
      <w:start w:val="1"/>
      <w:numFmt w:val="decimal"/>
      <w:lvlText w:val="%1."/>
      <w:lvlJc w:val="left"/>
      <w:pPr>
        <w:ind w:left="425" w:hanging="425"/>
      </w:pPr>
      <w:rPr>
        <w:rFonts w:hint="default"/>
      </w:rPr>
    </w:lvl>
  </w:abstractNum>
  <w:abstractNum w:abstractNumId="2">
    <w:nsid w:val="23F05992"/>
    <w:multiLevelType w:val="multilevel"/>
    <w:tmpl w:val="23F05992"/>
    <w:lvl w:ilvl="0" w:tentative="0">
      <w:start w:val="1"/>
      <w:numFmt w:val="decimal"/>
      <w:lvlText w:val="%1、"/>
      <w:lvlJc w:val="left"/>
      <w:pPr>
        <w:ind w:left="720" w:hanging="72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32602AC"/>
    <w:multiLevelType w:val="multilevel"/>
    <w:tmpl w:val="332602AC"/>
    <w:lvl w:ilvl="0" w:tentative="0">
      <w:start w:val="1"/>
      <w:numFmt w:val="decimal"/>
      <w:lvlText w:val="（%1）"/>
      <w:lvlJc w:val="left"/>
      <w:pPr>
        <w:ind w:left="1532" w:hanging="720"/>
      </w:pPr>
      <w:rPr>
        <w:rFonts w:hint="default"/>
      </w:rPr>
    </w:lvl>
    <w:lvl w:ilvl="1" w:tentative="0">
      <w:start w:val="1"/>
      <w:numFmt w:val="lowerLetter"/>
      <w:lvlText w:val="%2)"/>
      <w:lvlJc w:val="left"/>
      <w:pPr>
        <w:ind w:left="1652" w:hanging="420"/>
      </w:pPr>
    </w:lvl>
    <w:lvl w:ilvl="2" w:tentative="0">
      <w:start w:val="1"/>
      <w:numFmt w:val="lowerRoman"/>
      <w:lvlText w:val="%3."/>
      <w:lvlJc w:val="right"/>
      <w:pPr>
        <w:ind w:left="2072" w:hanging="420"/>
      </w:pPr>
    </w:lvl>
    <w:lvl w:ilvl="3" w:tentative="0">
      <w:start w:val="1"/>
      <w:numFmt w:val="decimal"/>
      <w:lvlText w:val="%4."/>
      <w:lvlJc w:val="left"/>
      <w:pPr>
        <w:ind w:left="2492" w:hanging="420"/>
      </w:pPr>
    </w:lvl>
    <w:lvl w:ilvl="4" w:tentative="0">
      <w:start w:val="1"/>
      <w:numFmt w:val="lowerLetter"/>
      <w:lvlText w:val="%5)"/>
      <w:lvlJc w:val="left"/>
      <w:pPr>
        <w:ind w:left="2912" w:hanging="420"/>
      </w:pPr>
    </w:lvl>
    <w:lvl w:ilvl="5" w:tentative="0">
      <w:start w:val="1"/>
      <w:numFmt w:val="lowerRoman"/>
      <w:lvlText w:val="%6."/>
      <w:lvlJc w:val="right"/>
      <w:pPr>
        <w:ind w:left="3332" w:hanging="420"/>
      </w:pPr>
    </w:lvl>
    <w:lvl w:ilvl="6" w:tentative="0">
      <w:start w:val="1"/>
      <w:numFmt w:val="decimal"/>
      <w:lvlText w:val="%7."/>
      <w:lvlJc w:val="left"/>
      <w:pPr>
        <w:ind w:left="3752" w:hanging="420"/>
      </w:pPr>
    </w:lvl>
    <w:lvl w:ilvl="7" w:tentative="0">
      <w:start w:val="1"/>
      <w:numFmt w:val="lowerLetter"/>
      <w:lvlText w:val="%8)"/>
      <w:lvlJc w:val="left"/>
      <w:pPr>
        <w:ind w:left="4172" w:hanging="420"/>
      </w:pPr>
    </w:lvl>
    <w:lvl w:ilvl="8" w:tentative="0">
      <w:start w:val="1"/>
      <w:numFmt w:val="lowerRoman"/>
      <w:lvlText w:val="%9."/>
      <w:lvlJc w:val="right"/>
      <w:pPr>
        <w:ind w:left="4592" w:hanging="420"/>
      </w:pPr>
    </w:lvl>
  </w:abstractNum>
  <w:abstractNum w:abstractNumId="4">
    <w:nsid w:val="49C41BB1"/>
    <w:multiLevelType w:val="multilevel"/>
    <w:tmpl w:val="49C41BB1"/>
    <w:lvl w:ilvl="0" w:tentative="0">
      <w:start w:val="1"/>
      <w:numFmt w:val="decimal"/>
      <w:lvlText w:val="%1."/>
      <w:lvlJc w:val="left"/>
      <w:pPr>
        <w:ind w:left="785" w:hanging="420"/>
      </w:pPr>
    </w:lvl>
    <w:lvl w:ilvl="1" w:tentative="0">
      <w:start w:val="1"/>
      <w:numFmt w:val="lowerLetter"/>
      <w:lvlText w:val="%2)"/>
      <w:lvlJc w:val="left"/>
      <w:pPr>
        <w:ind w:left="1205" w:hanging="420"/>
      </w:pPr>
    </w:lvl>
    <w:lvl w:ilvl="2" w:tentative="0">
      <w:start w:val="1"/>
      <w:numFmt w:val="lowerRoman"/>
      <w:lvlText w:val="%3."/>
      <w:lvlJc w:val="right"/>
      <w:pPr>
        <w:ind w:left="1625" w:hanging="420"/>
      </w:pPr>
    </w:lvl>
    <w:lvl w:ilvl="3" w:tentative="0">
      <w:start w:val="1"/>
      <w:numFmt w:val="decimal"/>
      <w:lvlText w:val="%4."/>
      <w:lvlJc w:val="left"/>
      <w:pPr>
        <w:ind w:left="2045" w:hanging="420"/>
      </w:pPr>
    </w:lvl>
    <w:lvl w:ilvl="4" w:tentative="0">
      <w:start w:val="1"/>
      <w:numFmt w:val="lowerLetter"/>
      <w:lvlText w:val="%5)"/>
      <w:lvlJc w:val="left"/>
      <w:pPr>
        <w:ind w:left="2465" w:hanging="420"/>
      </w:pPr>
    </w:lvl>
    <w:lvl w:ilvl="5" w:tentative="0">
      <w:start w:val="1"/>
      <w:numFmt w:val="lowerRoman"/>
      <w:lvlText w:val="%6."/>
      <w:lvlJc w:val="right"/>
      <w:pPr>
        <w:ind w:left="2885" w:hanging="420"/>
      </w:pPr>
    </w:lvl>
    <w:lvl w:ilvl="6" w:tentative="0">
      <w:start w:val="1"/>
      <w:numFmt w:val="decimal"/>
      <w:lvlText w:val="%7."/>
      <w:lvlJc w:val="left"/>
      <w:pPr>
        <w:ind w:left="3305" w:hanging="420"/>
      </w:pPr>
    </w:lvl>
    <w:lvl w:ilvl="7" w:tentative="0">
      <w:start w:val="1"/>
      <w:numFmt w:val="lowerLetter"/>
      <w:lvlText w:val="%8)"/>
      <w:lvlJc w:val="left"/>
      <w:pPr>
        <w:ind w:left="3725" w:hanging="420"/>
      </w:pPr>
    </w:lvl>
    <w:lvl w:ilvl="8" w:tentative="0">
      <w:start w:val="1"/>
      <w:numFmt w:val="lowerRoman"/>
      <w:lvlText w:val="%9."/>
      <w:lvlJc w:val="right"/>
      <w:pPr>
        <w:ind w:left="4145" w:hanging="420"/>
      </w:pPr>
    </w:lvl>
  </w:abstractNum>
  <w:abstractNum w:abstractNumId="5">
    <w:nsid w:val="5CCE0CAE"/>
    <w:multiLevelType w:val="multilevel"/>
    <w:tmpl w:val="5CCE0CAE"/>
    <w:lvl w:ilvl="0" w:tentative="0">
      <w:start w:val="1"/>
      <w:numFmt w:val="decimal"/>
      <w:lvlText w:val="%1."/>
      <w:lvlJc w:val="left"/>
      <w:pPr>
        <w:tabs>
          <w:tab w:val="left" w:pos="1469"/>
        </w:tabs>
        <w:ind w:left="1469" w:hanging="419"/>
      </w:pPr>
      <w:rPr>
        <w:rFonts w:hint="eastAsia"/>
      </w:rPr>
    </w:lvl>
    <w:lvl w:ilvl="1" w:tentative="0">
      <w:start w:val="1"/>
      <w:numFmt w:val="decimal"/>
      <w:lvlText w:val="%2."/>
      <w:lvlJc w:val="left"/>
      <w:pPr>
        <w:tabs>
          <w:tab w:val="left" w:pos="839"/>
        </w:tabs>
        <w:ind w:left="839" w:hanging="419"/>
      </w:pPr>
      <w:rPr>
        <w:rFonts w:hint="eastAsia"/>
        <w:b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5F4057F3"/>
    <w:multiLevelType w:val="multilevel"/>
    <w:tmpl w:val="5F4057F3"/>
    <w:lvl w:ilvl="0" w:tentative="0">
      <w:start w:val="1"/>
      <w:numFmt w:val="decimal"/>
      <w:lvlText w:val="%1."/>
      <w:lvlJc w:val="left"/>
      <w:pPr>
        <w:tabs>
          <w:tab w:val="left" w:pos="1469"/>
        </w:tabs>
        <w:ind w:left="1469" w:hanging="419"/>
      </w:pPr>
      <w:rPr>
        <w:rFonts w:hint="eastAsia"/>
      </w:rPr>
    </w:lvl>
    <w:lvl w:ilvl="1" w:tentative="0">
      <w:start w:val="1"/>
      <w:numFmt w:val="decimal"/>
      <w:lvlText w:val="%2."/>
      <w:lvlJc w:val="left"/>
      <w:pPr>
        <w:tabs>
          <w:tab w:val="left" w:pos="839"/>
        </w:tabs>
        <w:ind w:left="839" w:hanging="419"/>
      </w:pPr>
      <w:rPr>
        <w:rFonts w:hint="eastAsia"/>
        <w:b w:val="0"/>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7">
    <w:nsid w:val="77595E0A"/>
    <w:multiLevelType w:val="multilevel"/>
    <w:tmpl w:val="77595E0A"/>
    <w:lvl w:ilvl="0" w:tentative="0">
      <w:start w:val="1"/>
      <w:numFmt w:val="decimal"/>
      <w:lvlText w:val="%1)"/>
      <w:lvlJc w:val="left"/>
      <w:pPr>
        <w:ind w:left="420" w:hanging="420"/>
      </w:pPr>
      <w:rPr>
        <w:rFonts w:hint="default"/>
        <w:b w:val="0"/>
        <w:bCs w:val="0"/>
        <w:color w:val="auto"/>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0"/>
  </w:num>
  <w:num w:numId="5">
    <w:abstractNumId w:val="1"/>
  </w:num>
  <w:num w:numId="6">
    <w:abstractNumId w:val="4"/>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A3YWYzNjFjZmUyOGU5NGU4ZjU3ZDRkNjc2OTYyMWIifQ=="/>
  </w:docVars>
  <w:rsids>
    <w:rsidRoot w:val="007B0F09"/>
    <w:rsid w:val="0000490C"/>
    <w:rsid w:val="000569E1"/>
    <w:rsid w:val="00074B20"/>
    <w:rsid w:val="00082572"/>
    <w:rsid w:val="000934D4"/>
    <w:rsid w:val="000A40B7"/>
    <w:rsid w:val="000C3E2B"/>
    <w:rsid w:val="000F4F45"/>
    <w:rsid w:val="001037BF"/>
    <w:rsid w:val="0013118F"/>
    <w:rsid w:val="001561E9"/>
    <w:rsid w:val="00176CD4"/>
    <w:rsid w:val="001772BC"/>
    <w:rsid w:val="00182C6E"/>
    <w:rsid w:val="001A5B43"/>
    <w:rsid w:val="001B719E"/>
    <w:rsid w:val="001C6943"/>
    <w:rsid w:val="00235C32"/>
    <w:rsid w:val="00244E90"/>
    <w:rsid w:val="002657F7"/>
    <w:rsid w:val="002772BB"/>
    <w:rsid w:val="002A0474"/>
    <w:rsid w:val="002A633A"/>
    <w:rsid w:val="002C2C3D"/>
    <w:rsid w:val="002C4297"/>
    <w:rsid w:val="00320C30"/>
    <w:rsid w:val="00334E6F"/>
    <w:rsid w:val="003570A0"/>
    <w:rsid w:val="003C60EF"/>
    <w:rsid w:val="003E6439"/>
    <w:rsid w:val="003F20A6"/>
    <w:rsid w:val="00404FA2"/>
    <w:rsid w:val="004242F4"/>
    <w:rsid w:val="0043243C"/>
    <w:rsid w:val="00441955"/>
    <w:rsid w:val="00447890"/>
    <w:rsid w:val="004B66B1"/>
    <w:rsid w:val="004F6AE0"/>
    <w:rsid w:val="00502F52"/>
    <w:rsid w:val="00582530"/>
    <w:rsid w:val="00590957"/>
    <w:rsid w:val="005914DC"/>
    <w:rsid w:val="005A5A4D"/>
    <w:rsid w:val="005F125A"/>
    <w:rsid w:val="005F1FC8"/>
    <w:rsid w:val="00630374"/>
    <w:rsid w:val="0069669C"/>
    <w:rsid w:val="006D2FCE"/>
    <w:rsid w:val="006F3C71"/>
    <w:rsid w:val="006F5FBA"/>
    <w:rsid w:val="00754818"/>
    <w:rsid w:val="007B0F09"/>
    <w:rsid w:val="007B2319"/>
    <w:rsid w:val="00820908"/>
    <w:rsid w:val="00820F76"/>
    <w:rsid w:val="00865B30"/>
    <w:rsid w:val="00874219"/>
    <w:rsid w:val="0087518C"/>
    <w:rsid w:val="008902DC"/>
    <w:rsid w:val="008943FF"/>
    <w:rsid w:val="009123D7"/>
    <w:rsid w:val="00916532"/>
    <w:rsid w:val="00923C7E"/>
    <w:rsid w:val="00936704"/>
    <w:rsid w:val="0094170D"/>
    <w:rsid w:val="009606BC"/>
    <w:rsid w:val="00967E57"/>
    <w:rsid w:val="00994E59"/>
    <w:rsid w:val="009B7DAD"/>
    <w:rsid w:val="00A148CE"/>
    <w:rsid w:val="00A24465"/>
    <w:rsid w:val="00A40610"/>
    <w:rsid w:val="00A4220E"/>
    <w:rsid w:val="00A44A63"/>
    <w:rsid w:val="00A45704"/>
    <w:rsid w:val="00A64A5B"/>
    <w:rsid w:val="00AD29A3"/>
    <w:rsid w:val="00AF3C2A"/>
    <w:rsid w:val="00B14C37"/>
    <w:rsid w:val="00B51EE9"/>
    <w:rsid w:val="00B54440"/>
    <w:rsid w:val="00B554E7"/>
    <w:rsid w:val="00B556FC"/>
    <w:rsid w:val="00B7278F"/>
    <w:rsid w:val="00B83714"/>
    <w:rsid w:val="00BD49FB"/>
    <w:rsid w:val="00BD51D2"/>
    <w:rsid w:val="00BD7232"/>
    <w:rsid w:val="00BE1921"/>
    <w:rsid w:val="00C035B5"/>
    <w:rsid w:val="00C66E1E"/>
    <w:rsid w:val="00C676BA"/>
    <w:rsid w:val="00C81AB4"/>
    <w:rsid w:val="00C857BF"/>
    <w:rsid w:val="00CA25CB"/>
    <w:rsid w:val="00CA6CB6"/>
    <w:rsid w:val="00CA786D"/>
    <w:rsid w:val="00D2102C"/>
    <w:rsid w:val="00D260D0"/>
    <w:rsid w:val="00D36D52"/>
    <w:rsid w:val="00D56DEA"/>
    <w:rsid w:val="00D60F0E"/>
    <w:rsid w:val="00E11567"/>
    <w:rsid w:val="00E3310A"/>
    <w:rsid w:val="00E33B9E"/>
    <w:rsid w:val="00E33C1C"/>
    <w:rsid w:val="00E34C27"/>
    <w:rsid w:val="00E47041"/>
    <w:rsid w:val="00E77225"/>
    <w:rsid w:val="00E95973"/>
    <w:rsid w:val="00ED2437"/>
    <w:rsid w:val="00EE3803"/>
    <w:rsid w:val="00F0149B"/>
    <w:rsid w:val="00F21640"/>
    <w:rsid w:val="00F8646A"/>
    <w:rsid w:val="00F876DE"/>
    <w:rsid w:val="00FF1750"/>
    <w:rsid w:val="00FF655F"/>
    <w:rsid w:val="016F2003"/>
    <w:rsid w:val="02FF7BF3"/>
    <w:rsid w:val="031429B1"/>
    <w:rsid w:val="04CB58F1"/>
    <w:rsid w:val="068F60BA"/>
    <w:rsid w:val="06B875FC"/>
    <w:rsid w:val="0A3B3C06"/>
    <w:rsid w:val="0D9F26FE"/>
    <w:rsid w:val="0DEF76F9"/>
    <w:rsid w:val="109D5687"/>
    <w:rsid w:val="11B41341"/>
    <w:rsid w:val="11DF65C3"/>
    <w:rsid w:val="1236418A"/>
    <w:rsid w:val="128A531A"/>
    <w:rsid w:val="13170F3E"/>
    <w:rsid w:val="155D6B7D"/>
    <w:rsid w:val="157A1400"/>
    <w:rsid w:val="15E6076C"/>
    <w:rsid w:val="198A4D5C"/>
    <w:rsid w:val="19E971DB"/>
    <w:rsid w:val="1C4E6F91"/>
    <w:rsid w:val="1D060A74"/>
    <w:rsid w:val="1E6E73D9"/>
    <w:rsid w:val="1EA36CFC"/>
    <w:rsid w:val="1F243022"/>
    <w:rsid w:val="211865F8"/>
    <w:rsid w:val="226A4499"/>
    <w:rsid w:val="23992B83"/>
    <w:rsid w:val="26F32C6C"/>
    <w:rsid w:val="287C6E02"/>
    <w:rsid w:val="29D60DFE"/>
    <w:rsid w:val="2BD70E05"/>
    <w:rsid w:val="33276C55"/>
    <w:rsid w:val="35B92089"/>
    <w:rsid w:val="36C834F0"/>
    <w:rsid w:val="38E12299"/>
    <w:rsid w:val="39DA61C2"/>
    <w:rsid w:val="3C9F3A90"/>
    <w:rsid w:val="40AB130E"/>
    <w:rsid w:val="42B802EF"/>
    <w:rsid w:val="436037BB"/>
    <w:rsid w:val="44794BB8"/>
    <w:rsid w:val="467460B6"/>
    <w:rsid w:val="47B14966"/>
    <w:rsid w:val="489107C4"/>
    <w:rsid w:val="493824EE"/>
    <w:rsid w:val="4A8E6133"/>
    <w:rsid w:val="4AD52225"/>
    <w:rsid w:val="4AF00F7F"/>
    <w:rsid w:val="4B5A20A6"/>
    <w:rsid w:val="4B7A2A12"/>
    <w:rsid w:val="4B801406"/>
    <w:rsid w:val="4E191136"/>
    <w:rsid w:val="4E4F5D47"/>
    <w:rsid w:val="4F2705FD"/>
    <w:rsid w:val="4FE5319E"/>
    <w:rsid w:val="523529AA"/>
    <w:rsid w:val="531620E8"/>
    <w:rsid w:val="53C13FAE"/>
    <w:rsid w:val="568E3335"/>
    <w:rsid w:val="56A77204"/>
    <w:rsid w:val="57CA278D"/>
    <w:rsid w:val="593E4431"/>
    <w:rsid w:val="59403789"/>
    <w:rsid w:val="5A6951F3"/>
    <w:rsid w:val="5B751CA9"/>
    <w:rsid w:val="5D327B1E"/>
    <w:rsid w:val="5E002415"/>
    <w:rsid w:val="61432BF3"/>
    <w:rsid w:val="61DF62F2"/>
    <w:rsid w:val="63183A98"/>
    <w:rsid w:val="64260F18"/>
    <w:rsid w:val="68052947"/>
    <w:rsid w:val="69867B41"/>
    <w:rsid w:val="6AE60108"/>
    <w:rsid w:val="6B924093"/>
    <w:rsid w:val="6D415B5B"/>
    <w:rsid w:val="6E2555C3"/>
    <w:rsid w:val="70955E58"/>
    <w:rsid w:val="71970440"/>
    <w:rsid w:val="7725078A"/>
    <w:rsid w:val="7ACE4F64"/>
    <w:rsid w:val="7CEE0931"/>
    <w:rsid w:val="7DD95F34"/>
    <w:rsid w:val="7E660767"/>
    <w:rsid w:val="7E7A6B45"/>
    <w:rsid w:val="7E8530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2" w:lineRule="auto"/>
      <w:jc w:val="both"/>
    </w:pPr>
    <w:rPr>
      <w:rFonts w:asciiTheme="minorHAnsi" w:hAnsiTheme="minorHAnsi" w:eastAsiaTheme="minorEastAsia" w:cstheme="minorBidi"/>
      <w:sz w:val="22"/>
      <w:szCs w:val="22"/>
      <w:lang w:val="en-US" w:eastAsia="zh-CN" w:bidi="ar-SA"/>
    </w:rPr>
  </w:style>
  <w:style w:type="paragraph" w:styleId="2">
    <w:name w:val="heading 1"/>
    <w:basedOn w:val="1"/>
    <w:next w:val="1"/>
    <w:link w:val="28"/>
    <w:qFormat/>
    <w:uiPriority w:val="9"/>
    <w:pPr>
      <w:keepNext/>
      <w:keepLines/>
      <w:spacing w:before="320" w:after="40"/>
      <w:outlineLvl w:val="0"/>
    </w:pPr>
    <w:rPr>
      <w:rFonts w:asciiTheme="majorHAnsi" w:hAnsiTheme="majorHAnsi" w:eastAsiaTheme="majorEastAsia" w:cstheme="majorBidi"/>
      <w:b/>
      <w:bCs/>
      <w:caps/>
      <w:spacing w:val="4"/>
      <w:sz w:val="28"/>
      <w:szCs w:val="28"/>
    </w:rPr>
  </w:style>
  <w:style w:type="paragraph" w:styleId="3">
    <w:name w:val="heading 2"/>
    <w:basedOn w:val="1"/>
    <w:next w:val="1"/>
    <w:link w:val="29"/>
    <w:semiHidden/>
    <w:unhideWhenUsed/>
    <w:qFormat/>
    <w:uiPriority w:val="9"/>
    <w:pPr>
      <w:keepNext/>
      <w:keepLines/>
      <w:spacing w:before="120" w:after="0"/>
      <w:outlineLvl w:val="1"/>
    </w:pPr>
    <w:rPr>
      <w:rFonts w:asciiTheme="majorHAnsi" w:hAnsiTheme="majorHAnsi" w:eastAsiaTheme="majorEastAsia" w:cstheme="majorBidi"/>
      <w:b/>
      <w:bCs/>
      <w:sz w:val="28"/>
      <w:szCs w:val="28"/>
    </w:rPr>
  </w:style>
  <w:style w:type="paragraph" w:styleId="4">
    <w:name w:val="heading 3"/>
    <w:basedOn w:val="1"/>
    <w:next w:val="1"/>
    <w:link w:val="30"/>
    <w:semiHidden/>
    <w:unhideWhenUsed/>
    <w:qFormat/>
    <w:uiPriority w:val="9"/>
    <w:pPr>
      <w:keepNext/>
      <w:keepLines/>
      <w:spacing w:before="120" w:after="0"/>
      <w:outlineLvl w:val="2"/>
    </w:pPr>
    <w:rPr>
      <w:rFonts w:asciiTheme="majorHAnsi" w:hAnsiTheme="majorHAnsi" w:eastAsiaTheme="majorEastAsia" w:cstheme="majorBidi"/>
      <w:spacing w:val="4"/>
      <w:sz w:val="24"/>
      <w:szCs w:val="24"/>
    </w:rPr>
  </w:style>
  <w:style w:type="paragraph" w:styleId="5">
    <w:name w:val="heading 4"/>
    <w:basedOn w:val="1"/>
    <w:next w:val="1"/>
    <w:link w:val="31"/>
    <w:semiHidden/>
    <w:unhideWhenUsed/>
    <w:qFormat/>
    <w:uiPriority w:val="9"/>
    <w:pPr>
      <w:keepNext/>
      <w:keepLines/>
      <w:spacing w:before="120" w:after="0"/>
      <w:outlineLvl w:val="3"/>
    </w:pPr>
    <w:rPr>
      <w:rFonts w:asciiTheme="majorHAnsi" w:hAnsiTheme="majorHAnsi" w:eastAsiaTheme="majorEastAsia" w:cstheme="majorBidi"/>
      <w:i/>
      <w:iCs/>
      <w:sz w:val="24"/>
      <w:szCs w:val="24"/>
    </w:rPr>
  </w:style>
  <w:style w:type="paragraph" w:styleId="6">
    <w:name w:val="heading 5"/>
    <w:basedOn w:val="1"/>
    <w:next w:val="1"/>
    <w:link w:val="32"/>
    <w:semiHidden/>
    <w:unhideWhenUsed/>
    <w:qFormat/>
    <w:uiPriority w:val="9"/>
    <w:pPr>
      <w:keepNext/>
      <w:keepLines/>
      <w:spacing w:before="120" w:after="0"/>
      <w:outlineLvl w:val="4"/>
    </w:pPr>
    <w:rPr>
      <w:rFonts w:asciiTheme="majorHAnsi" w:hAnsiTheme="majorHAnsi" w:eastAsiaTheme="majorEastAsia" w:cstheme="majorBidi"/>
      <w:b/>
      <w:bCs/>
    </w:rPr>
  </w:style>
  <w:style w:type="paragraph" w:styleId="7">
    <w:name w:val="heading 6"/>
    <w:basedOn w:val="1"/>
    <w:next w:val="1"/>
    <w:link w:val="33"/>
    <w:semiHidden/>
    <w:unhideWhenUsed/>
    <w:qFormat/>
    <w:uiPriority w:val="9"/>
    <w:pPr>
      <w:keepNext/>
      <w:keepLines/>
      <w:spacing w:before="120" w:after="0"/>
      <w:outlineLvl w:val="5"/>
    </w:pPr>
    <w:rPr>
      <w:rFonts w:asciiTheme="majorHAnsi" w:hAnsiTheme="majorHAnsi" w:eastAsiaTheme="majorEastAsia" w:cstheme="majorBidi"/>
      <w:b/>
      <w:bCs/>
      <w:i/>
      <w:iCs/>
    </w:rPr>
  </w:style>
  <w:style w:type="paragraph" w:styleId="8">
    <w:name w:val="heading 7"/>
    <w:basedOn w:val="1"/>
    <w:next w:val="1"/>
    <w:link w:val="34"/>
    <w:semiHidden/>
    <w:unhideWhenUsed/>
    <w:qFormat/>
    <w:uiPriority w:val="9"/>
    <w:pPr>
      <w:keepNext/>
      <w:keepLines/>
      <w:spacing w:before="120" w:after="0"/>
      <w:outlineLvl w:val="6"/>
    </w:pPr>
    <w:rPr>
      <w:i/>
      <w:iCs/>
    </w:rPr>
  </w:style>
  <w:style w:type="paragraph" w:styleId="9">
    <w:name w:val="heading 8"/>
    <w:basedOn w:val="1"/>
    <w:next w:val="1"/>
    <w:link w:val="35"/>
    <w:semiHidden/>
    <w:unhideWhenUsed/>
    <w:qFormat/>
    <w:uiPriority w:val="9"/>
    <w:pPr>
      <w:keepNext/>
      <w:keepLines/>
      <w:spacing w:before="120" w:after="0"/>
      <w:outlineLvl w:val="7"/>
    </w:pPr>
    <w:rPr>
      <w:b/>
      <w:bCs/>
    </w:rPr>
  </w:style>
  <w:style w:type="paragraph" w:styleId="10">
    <w:name w:val="heading 9"/>
    <w:basedOn w:val="1"/>
    <w:next w:val="1"/>
    <w:link w:val="36"/>
    <w:semiHidden/>
    <w:unhideWhenUsed/>
    <w:qFormat/>
    <w:uiPriority w:val="9"/>
    <w:pPr>
      <w:keepNext/>
      <w:keepLines/>
      <w:spacing w:before="120" w:after="0"/>
      <w:outlineLvl w:val="8"/>
    </w:pPr>
    <w:rPr>
      <w:i/>
      <w:iCs/>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qFormat/>
    <w:uiPriority w:val="0"/>
    <w:pPr>
      <w:widowControl w:val="0"/>
      <w:spacing w:after="0" w:line="240" w:lineRule="auto"/>
      <w:ind w:firstLine="420"/>
    </w:pPr>
    <w:rPr>
      <w:rFonts w:ascii="Times New Roman" w:hAnsi="Times New Roman" w:eastAsia="宋体" w:cs="Times New Roman"/>
      <w:kern w:val="2"/>
      <w:sz w:val="21"/>
      <w:szCs w:val="20"/>
    </w:rPr>
  </w:style>
  <w:style w:type="paragraph" w:styleId="12">
    <w:name w:val="caption"/>
    <w:basedOn w:val="1"/>
    <w:next w:val="1"/>
    <w:semiHidden/>
    <w:unhideWhenUsed/>
    <w:qFormat/>
    <w:uiPriority w:val="35"/>
    <w:rPr>
      <w:b/>
      <w:bCs/>
      <w:sz w:val="18"/>
      <w:szCs w:val="18"/>
    </w:rPr>
  </w:style>
  <w:style w:type="paragraph" w:styleId="13">
    <w:name w:val="Body Text"/>
    <w:basedOn w:val="1"/>
    <w:link w:val="58"/>
    <w:semiHidden/>
    <w:unhideWhenUsed/>
    <w:qFormat/>
    <w:uiPriority w:val="99"/>
    <w:pPr>
      <w:spacing w:after="120"/>
    </w:pPr>
  </w:style>
  <w:style w:type="paragraph" w:styleId="14">
    <w:name w:val="toc 3"/>
    <w:basedOn w:val="1"/>
    <w:next w:val="1"/>
    <w:unhideWhenUsed/>
    <w:qFormat/>
    <w:uiPriority w:val="39"/>
    <w:pPr>
      <w:spacing w:after="100" w:line="259" w:lineRule="auto"/>
      <w:ind w:left="440"/>
      <w:jc w:val="left"/>
    </w:pPr>
    <w:rPr>
      <w:rFonts w:cs="Times New Roman"/>
    </w:rPr>
  </w:style>
  <w:style w:type="paragraph" w:styleId="15">
    <w:name w:val="Plain Text"/>
    <w:basedOn w:val="1"/>
    <w:link w:val="57"/>
    <w:unhideWhenUsed/>
    <w:qFormat/>
    <w:uiPriority w:val="0"/>
    <w:rPr>
      <w:rFonts w:hAnsi="Courier New" w:cs="Courier New" w:asciiTheme="minorEastAsia"/>
    </w:rPr>
  </w:style>
  <w:style w:type="paragraph" w:styleId="16">
    <w:name w:val="footer"/>
    <w:basedOn w:val="1"/>
    <w:link w:val="53"/>
    <w:unhideWhenUsed/>
    <w:qFormat/>
    <w:uiPriority w:val="99"/>
    <w:pPr>
      <w:tabs>
        <w:tab w:val="center" w:pos="4153"/>
        <w:tab w:val="right" w:pos="8306"/>
      </w:tabs>
      <w:snapToGrid w:val="0"/>
      <w:spacing w:line="240" w:lineRule="auto"/>
      <w:jc w:val="left"/>
    </w:pPr>
    <w:rPr>
      <w:sz w:val="18"/>
      <w:szCs w:val="18"/>
    </w:rPr>
  </w:style>
  <w:style w:type="paragraph" w:styleId="17">
    <w:name w:val="header"/>
    <w:basedOn w:val="1"/>
    <w:link w:val="52"/>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8">
    <w:name w:val="toc 1"/>
    <w:basedOn w:val="1"/>
    <w:next w:val="1"/>
    <w:unhideWhenUsed/>
    <w:qFormat/>
    <w:uiPriority w:val="39"/>
    <w:pPr>
      <w:spacing w:after="100" w:line="259" w:lineRule="auto"/>
      <w:jc w:val="left"/>
    </w:pPr>
    <w:rPr>
      <w:rFonts w:cs="Times New Roman"/>
    </w:rPr>
  </w:style>
  <w:style w:type="paragraph" w:styleId="19">
    <w:name w:val="Subtitle"/>
    <w:basedOn w:val="1"/>
    <w:next w:val="1"/>
    <w:link w:val="38"/>
    <w:qFormat/>
    <w:uiPriority w:val="11"/>
    <w:pPr>
      <w:spacing w:after="240"/>
      <w:jc w:val="center"/>
    </w:pPr>
    <w:rPr>
      <w:rFonts w:asciiTheme="majorHAnsi" w:hAnsiTheme="majorHAnsi" w:eastAsiaTheme="majorEastAsia" w:cstheme="majorBidi"/>
      <w:sz w:val="24"/>
      <w:szCs w:val="24"/>
    </w:rPr>
  </w:style>
  <w:style w:type="paragraph" w:styleId="20">
    <w:name w:val="Body Text Indent 3"/>
    <w:basedOn w:val="1"/>
    <w:link w:val="55"/>
    <w:qFormat/>
    <w:uiPriority w:val="0"/>
    <w:pPr>
      <w:widowControl w:val="0"/>
      <w:spacing w:after="120" w:line="240" w:lineRule="auto"/>
      <w:ind w:left="420" w:leftChars="200"/>
    </w:pPr>
    <w:rPr>
      <w:rFonts w:ascii="Times New Roman" w:hAnsi="Times New Roman" w:eastAsia="宋体" w:cs="Times New Roman"/>
      <w:kern w:val="2"/>
      <w:sz w:val="16"/>
      <w:szCs w:val="16"/>
    </w:rPr>
  </w:style>
  <w:style w:type="paragraph" w:styleId="21">
    <w:name w:val="toc 2"/>
    <w:basedOn w:val="1"/>
    <w:next w:val="1"/>
    <w:unhideWhenUsed/>
    <w:qFormat/>
    <w:uiPriority w:val="39"/>
    <w:pPr>
      <w:spacing w:after="100" w:line="259" w:lineRule="auto"/>
      <w:ind w:left="220"/>
      <w:jc w:val="left"/>
    </w:pPr>
    <w:rPr>
      <w:rFonts w:cs="Times New Roman"/>
    </w:rPr>
  </w:style>
  <w:style w:type="paragraph" w:styleId="22">
    <w:name w:val="Title"/>
    <w:basedOn w:val="1"/>
    <w:next w:val="1"/>
    <w:link w:val="37"/>
    <w:qFormat/>
    <w:uiPriority w:val="10"/>
    <w:pPr>
      <w:spacing w:after="0" w:line="240" w:lineRule="auto"/>
      <w:contextualSpacing/>
      <w:jc w:val="center"/>
    </w:pPr>
    <w:rPr>
      <w:rFonts w:asciiTheme="majorHAnsi" w:hAnsiTheme="majorHAnsi" w:eastAsiaTheme="majorEastAsia" w:cstheme="majorBidi"/>
      <w:b/>
      <w:bCs/>
      <w:spacing w:val="-7"/>
      <w:sz w:val="48"/>
      <w:szCs w:val="48"/>
    </w:rPr>
  </w:style>
  <w:style w:type="character" w:styleId="25">
    <w:name w:val="Strong"/>
    <w:basedOn w:val="24"/>
    <w:qFormat/>
    <w:uiPriority w:val="22"/>
    <w:rPr>
      <w:b/>
      <w:bCs/>
      <w:color w:val="auto"/>
    </w:rPr>
  </w:style>
  <w:style w:type="character" w:styleId="26">
    <w:name w:val="Emphasis"/>
    <w:basedOn w:val="24"/>
    <w:qFormat/>
    <w:uiPriority w:val="20"/>
    <w:rPr>
      <w:i/>
      <w:iCs/>
      <w:color w:val="auto"/>
    </w:rPr>
  </w:style>
  <w:style w:type="character" w:styleId="27">
    <w:name w:val="Hyperlink"/>
    <w:basedOn w:val="24"/>
    <w:unhideWhenUsed/>
    <w:qFormat/>
    <w:uiPriority w:val="99"/>
    <w:rPr>
      <w:color w:val="F49100" w:themeColor="hyperlink"/>
      <w:u w:val="single"/>
      <w14:textFill>
        <w14:solidFill>
          <w14:schemeClr w14:val="hlink"/>
        </w14:solidFill>
      </w14:textFill>
    </w:rPr>
  </w:style>
  <w:style w:type="character" w:customStyle="1" w:styleId="28">
    <w:name w:val="标题 1 字符"/>
    <w:basedOn w:val="24"/>
    <w:link w:val="2"/>
    <w:qFormat/>
    <w:uiPriority w:val="9"/>
    <w:rPr>
      <w:rFonts w:asciiTheme="majorHAnsi" w:hAnsiTheme="majorHAnsi" w:eastAsiaTheme="majorEastAsia" w:cstheme="majorBidi"/>
      <w:b/>
      <w:bCs/>
      <w:caps/>
      <w:spacing w:val="4"/>
      <w:sz w:val="28"/>
      <w:szCs w:val="28"/>
    </w:rPr>
  </w:style>
  <w:style w:type="character" w:customStyle="1" w:styleId="29">
    <w:name w:val="标题 2 字符"/>
    <w:basedOn w:val="24"/>
    <w:link w:val="3"/>
    <w:semiHidden/>
    <w:qFormat/>
    <w:uiPriority w:val="9"/>
    <w:rPr>
      <w:rFonts w:asciiTheme="majorHAnsi" w:hAnsiTheme="majorHAnsi" w:eastAsiaTheme="majorEastAsia" w:cstheme="majorBidi"/>
      <w:b/>
      <w:bCs/>
      <w:sz w:val="28"/>
      <w:szCs w:val="28"/>
    </w:rPr>
  </w:style>
  <w:style w:type="character" w:customStyle="1" w:styleId="30">
    <w:name w:val="标题 3 字符"/>
    <w:basedOn w:val="24"/>
    <w:link w:val="4"/>
    <w:semiHidden/>
    <w:qFormat/>
    <w:uiPriority w:val="9"/>
    <w:rPr>
      <w:rFonts w:asciiTheme="majorHAnsi" w:hAnsiTheme="majorHAnsi" w:eastAsiaTheme="majorEastAsia" w:cstheme="majorBidi"/>
      <w:spacing w:val="4"/>
      <w:sz w:val="24"/>
      <w:szCs w:val="24"/>
    </w:rPr>
  </w:style>
  <w:style w:type="character" w:customStyle="1" w:styleId="31">
    <w:name w:val="标题 4 字符"/>
    <w:basedOn w:val="24"/>
    <w:link w:val="5"/>
    <w:semiHidden/>
    <w:qFormat/>
    <w:uiPriority w:val="9"/>
    <w:rPr>
      <w:rFonts w:asciiTheme="majorHAnsi" w:hAnsiTheme="majorHAnsi" w:eastAsiaTheme="majorEastAsia" w:cstheme="majorBidi"/>
      <w:i/>
      <w:iCs/>
      <w:sz w:val="24"/>
      <w:szCs w:val="24"/>
    </w:rPr>
  </w:style>
  <w:style w:type="character" w:customStyle="1" w:styleId="32">
    <w:name w:val="标题 5 字符"/>
    <w:basedOn w:val="24"/>
    <w:link w:val="6"/>
    <w:semiHidden/>
    <w:qFormat/>
    <w:uiPriority w:val="9"/>
    <w:rPr>
      <w:rFonts w:asciiTheme="majorHAnsi" w:hAnsiTheme="majorHAnsi" w:eastAsiaTheme="majorEastAsia" w:cstheme="majorBidi"/>
      <w:b/>
      <w:bCs/>
    </w:rPr>
  </w:style>
  <w:style w:type="character" w:customStyle="1" w:styleId="33">
    <w:name w:val="标题 6 字符"/>
    <w:basedOn w:val="24"/>
    <w:link w:val="7"/>
    <w:semiHidden/>
    <w:qFormat/>
    <w:uiPriority w:val="9"/>
    <w:rPr>
      <w:rFonts w:asciiTheme="majorHAnsi" w:hAnsiTheme="majorHAnsi" w:eastAsiaTheme="majorEastAsia" w:cstheme="majorBidi"/>
      <w:b/>
      <w:bCs/>
      <w:i/>
      <w:iCs/>
    </w:rPr>
  </w:style>
  <w:style w:type="character" w:customStyle="1" w:styleId="34">
    <w:name w:val="标题 7 字符"/>
    <w:basedOn w:val="24"/>
    <w:link w:val="8"/>
    <w:semiHidden/>
    <w:qFormat/>
    <w:uiPriority w:val="9"/>
    <w:rPr>
      <w:i/>
      <w:iCs/>
    </w:rPr>
  </w:style>
  <w:style w:type="character" w:customStyle="1" w:styleId="35">
    <w:name w:val="标题 8 字符"/>
    <w:basedOn w:val="24"/>
    <w:link w:val="9"/>
    <w:semiHidden/>
    <w:qFormat/>
    <w:uiPriority w:val="9"/>
    <w:rPr>
      <w:b/>
      <w:bCs/>
    </w:rPr>
  </w:style>
  <w:style w:type="character" w:customStyle="1" w:styleId="36">
    <w:name w:val="标题 9 字符"/>
    <w:basedOn w:val="24"/>
    <w:link w:val="10"/>
    <w:semiHidden/>
    <w:qFormat/>
    <w:uiPriority w:val="9"/>
    <w:rPr>
      <w:i/>
      <w:iCs/>
    </w:rPr>
  </w:style>
  <w:style w:type="character" w:customStyle="1" w:styleId="37">
    <w:name w:val="标题 字符"/>
    <w:basedOn w:val="24"/>
    <w:link w:val="22"/>
    <w:qFormat/>
    <w:uiPriority w:val="10"/>
    <w:rPr>
      <w:rFonts w:asciiTheme="majorHAnsi" w:hAnsiTheme="majorHAnsi" w:eastAsiaTheme="majorEastAsia" w:cstheme="majorBidi"/>
      <w:b/>
      <w:bCs/>
      <w:spacing w:val="-7"/>
      <w:sz w:val="48"/>
      <w:szCs w:val="48"/>
    </w:rPr>
  </w:style>
  <w:style w:type="character" w:customStyle="1" w:styleId="38">
    <w:name w:val="副标题 字符"/>
    <w:basedOn w:val="24"/>
    <w:link w:val="19"/>
    <w:qFormat/>
    <w:uiPriority w:val="11"/>
    <w:rPr>
      <w:rFonts w:asciiTheme="majorHAnsi" w:hAnsiTheme="majorHAnsi" w:eastAsiaTheme="majorEastAsia" w:cstheme="majorBidi"/>
      <w:sz w:val="24"/>
      <w:szCs w:val="24"/>
    </w:rPr>
  </w:style>
  <w:style w:type="paragraph" w:styleId="39">
    <w:name w:val="No Spacing"/>
    <w:link w:val="50"/>
    <w:qFormat/>
    <w:uiPriority w:val="1"/>
    <w:pPr>
      <w:spacing w:after="0" w:line="240" w:lineRule="auto"/>
      <w:jc w:val="both"/>
    </w:pPr>
    <w:rPr>
      <w:rFonts w:asciiTheme="minorHAnsi" w:hAnsiTheme="minorHAnsi" w:eastAsiaTheme="minorEastAsia" w:cstheme="minorBidi"/>
      <w:sz w:val="22"/>
      <w:szCs w:val="22"/>
      <w:lang w:val="en-US" w:eastAsia="zh-CN" w:bidi="ar-SA"/>
    </w:rPr>
  </w:style>
  <w:style w:type="paragraph" w:styleId="40">
    <w:name w:val="Quote"/>
    <w:basedOn w:val="1"/>
    <w:next w:val="1"/>
    <w:link w:val="41"/>
    <w:qFormat/>
    <w:uiPriority w:val="29"/>
    <w:pPr>
      <w:spacing w:before="200" w:line="264" w:lineRule="auto"/>
      <w:ind w:left="864" w:right="864"/>
      <w:jc w:val="center"/>
    </w:pPr>
    <w:rPr>
      <w:rFonts w:asciiTheme="majorHAnsi" w:hAnsiTheme="majorHAnsi" w:eastAsiaTheme="majorEastAsia" w:cstheme="majorBidi"/>
      <w:i/>
      <w:iCs/>
      <w:sz w:val="24"/>
      <w:szCs w:val="24"/>
    </w:rPr>
  </w:style>
  <w:style w:type="character" w:customStyle="1" w:styleId="41">
    <w:name w:val="引用 字符"/>
    <w:basedOn w:val="24"/>
    <w:link w:val="40"/>
    <w:qFormat/>
    <w:uiPriority w:val="29"/>
    <w:rPr>
      <w:rFonts w:asciiTheme="majorHAnsi" w:hAnsiTheme="majorHAnsi" w:eastAsiaTheme="majorEastAsia" w:cstheme="majorBidi"/>
      <w:i/>
      <w:iCs/>
      <w:sz w:val="24"/>
      <w:szCs w:val="24"/>
    </w:rPr>
  </w:style>
  <w:style w:type="paragraph" w:styleId="42">
    <w:name w:val="Intense Quote"/>
    <w:basedOn w:val="1"/>
    <w:next w:val="1"/>
    <w:link w:val="43"/>
    <w:qFormat/>
    <w:uiPriority w:val="30"/>
    <w:pPr>
      <w:spacing w:before="100" w:beforeAutospacing="1" w:after="240"/>
      <w:ind w:left="936" w:right="936"/>
      <w:jc w:val="center"/>
    </w:pPr>
    <w:rPr>
      <w:rFonts w:asciiTheme="majorHAnsi" w:hAnsiTheme="majorHAnsi" w:eastAsiaTheme="majorEastAsia" w:cstheme="majorBidi"/>
      <w:sz w:val="26"/>
      <w:szCs w:val="26"/>
    </w:rPr>
  </w:style>
  <w:style w:type="character" w:customStyle="1" w:styleId="43">
    <w:name w:val="明显引用 字符"/>
    <w:basedOn w:val="24"/>
    <w:link w:val="42"/>
    <w:qFormat/>
    <w:uiPriority w:val="30"/>
    <w:rPr>
      <w:rFonts w:asciiTheme="majorHAnsi" w:hAnsiTheme="majorHAnsi" w:eastAsiaTheme="majorEastAsia" w:cstheme="majorBidi"/>
      <w:sz w:val="26"/>
      <w:szCs w:val="26"/>
    </w:rPr>
  </w:style>
  <w:style w:type="character" w:customStyle="1" w:styleId="44">
    <w:name w:val="Subtle Emphasis"/>
    <w:basedOn w:val="24"/>
    <w:qFormat/>
    <w:uiPriority w:val="19"/>
    <w:rPr>
      <w:i/>
      <w:iCs/>
      <w:color w:val="auto"/>
    </w:rPr>
  </w:style>
  <w:style w:type="character" w:customStyle="1" w:styleId="45">
    <w:name w:val="Intense Emphasis"/>
    <w:basedOn w:val="24"/>
    <w:qFormat/>
    <w:uiPriority w:val="21"/>
    <w:rPr>
      <w:b/>
      <w:bCs/>
      <w:i/>
      <w:iCs/>
      <w:color w:val="auto"/>
    </w:rPr>
  </w:style>
  <w:style w:type="character" w:customStyle="1" w:styleId="46">
    <w:name w:val="Subtle Reference"/>
    <w:basedOn w:val="24"/>
    <w:qFormat/>
    <w:uiPriority w:val="31"/>
    <w:rPr>
      <w:smallCaps/>
      <w:color w:val="auto"/>
      <w:u w:val="single" w:color="7E7E7E" w:themeColor="text1" w:themeTint="80"/>
    </w:rPr>
  </w:style>
  <w:style w:type="character" w:customStyle="1" w:styleId="47">
    <w:name w:val="Intense Reference"/>
    <w:basedOn w:val="24"/>
    <w:qFormat/>
    <w:uiPriority w:val="32"/>
    <w:rPr>
      <w:b/>
      <w:bCs/>
      <w:smallCaps/>
      <w:color w:val="auto"/>
      <w:u w:val="single"/>
    </w:rPr>
  </w:style>
  <w:style w:type="character" w:customStyle="1" w:styleId="48">
    <w:name w:val="Book Title"/>
    <w:basedOn w:val="24"/>
    <w:qFormat/>
    <w:uiPriority w:val="33"/>
    <w:rPr>
      <w:b/>
      <w:bCs/>
      <w:smallCaps/>
      <w:color w:val="auto"/>
    </w:rPr>
  </w:style>
  <w:style w:type="paragraph" w:customStyle="1" w:styleId="49">
    <w:name w:val="TOC Heading"/>
    <w:basedOn w:val="2"/>
    <w:next w:val="1"/>
    <w:unhideWhenUsed/>
    <w:qFormat/>
    <w:uiPriority w:val="39"/>
    <w:pPr>
      <w:outlineLvl w:val="9"/>
    </w:pPr>
  </w:style>
  <w:style w:type="character" w:customStyle="1" w:styleId="50">
    <w:name w:val="无间隔 字符"/>
    <w:basedOn w:val="24"/>
    <w:link w:val="39"/>
    <w:qFormat/>
    <w:uiPriority w:val="1"/>
  </w:style>
  <w:style w:type="paragraph" w:customStyle="1" w:styleId="51">
    <w:name w:val="Default"/>
    <w:qFormat/>
    <w:uiPriority w:val="0"/>
    <w:pPr>
      <w:widowControl w:val="0"/>
      <w:autoSpaceDE w:val="0"/>
      <w:autoSpaceDN w:val="0"/>
      <w:adjustRightInd w:val="0"/>
      <w:spacing w:after="0" w:line="240" w:lineRule="auto"/>
      <w:jc w:val="left"/>
    </w:pPr>
    <w:rPr>
      <w:rFonts w:ascii="宋体" w:hAnsi="Times New Roman" w:eastAsia="宋体" w:cs="Times New Roman"/>
      <w:color w:val="000000"/>
      <w:sz w:val="24"/>
      <w:szCs w:val="24"/>
      <w:lang w:val="en-US" w:eastAsia="zh-CN" w:bidi="ar-SA"/>
    </w:rPr>
  </w:style>
  <w:style w:type="character" w:customStyle="1" w:styleId="52">
    <w:name w:val="页眉 字符"/>
    <w:basedOn w:val="24"/>
    <w:link w:val="17"/>
    <w:qFormat/>
    <w:uiPriority w:val="99"/>
    <w:rPr>
      <w:sz w:val="18"/>
      <w:szCs w:val="18"/>
    </w:rPr>
  </w:style>
  <w:style w:type="character" w:customStyle="1" w:styleId="53">
    <w:name w:val="页脚 字符"/>
    <w:basedOn w:val="24"/>
    <w:link w:val="16"/>
    <w:qFormat/>
    <w:uiPriority w:val="99"/>
    <w:rPr>
      <w:sz w:val="18"/>
      <w:szCs w:val="18"/>
    </w:rPr>
  </w:style>
  <w:style w:type="paragraph" w:styleId="54">
    <w:name w:val="List Paragraph"/>
    <w:basedOn w:val="1"/>
    <w:qFormat/>
    <w:uiPriority w:val="34"/>
    <w:pPr>
      <w:ind w:firstLine="420" w:firstLineChars="200"/>
    </w:pPr>
  </w:style>
  <w:style w:type="character" w:customStyle="1" w:styleId="55">
    <w:name w:val="正文文本缩进 3 字符"/>
    <w:basedOn w:val="24"/>
    <w:link w:val="20"/>
    <w:qFormat/>
    <w:uiPriority w:val="0"/>
    <w:rPr>
      <w:rFonts w:ascii="Times New Roman" w:hAnsi="Times New Roman" w:eastAsia="宋体" w:cs="Times New Roman"/>
      <w:kern w:val="2"/>
      <w:sz w:val="16"/>
      <w:szCs w:val="16"/>
    </w:rPr>
  </w:style>
  <w:style w:type="paragraph" w:customStyle="1" w:styleId="56">
    <w:name w:val="样式3"/>
    <w:basedOn w:val="15"/>
    <w:qFormat/>
    <w:uiPriority w:val="0"/>
    <w:pPr>
      <w:widowControl w:val="0"/>
      <w:spacing w:after="0" w:line="0" w:lineRule="atLeast"/>
      <w:outlineLvl w:val="0"/>
    </w:pPr>
    <w:rPr>
      <w:rFonts w:ascii="宋体" w:eastAsia="宋体" w:cs="Times New Roman"/>
      <w:kern w:val="2"/>
      <w:sz w:val="28"/>
      <w:szCs w:val="20"/>
    </w:rPr>
  </w:style>
  <w:style w:type="character" w:customStyle="1" w:styleId="57">
    <w:name w:val="纯文本 字符"/>
    <w:basedOn w:val="24"/>
    <w:link w:val="15"/>
    <w:semiHidden/>
    <w:qFormat/>
    <w:uiPriority w:val="99"/>
    <w:rPr>
      <w:rFonts w:hAnsi="Courier New" w:cs="Courier New" w:asciiTheme="minorEastAsia"/>
    </w:rPr>
  </w:style>
  <w:style w:type="character" w:customStyle="1" w:styleId="58">
    <w:name w:val="正文文本 字符"/>
    <w:basedOn w:val="24"/>
    <w:link w:val="13"/>
    <w:semiHidden/>
    <w:qFormat/>
    <w:uiPriority w:val="99"/>
  </w:style>
  <w:style w:type="character" w:customStyle="1" w:styleId="59">
    <w:name w:val="纯文本 Char"/>
    <w:qFormat/>
    <w:uiPriority w:val="0"/>
    <w:rPr>
      <w:rFonts w:ascii="宋体" w:hAnsi="Courier New" w:eastAsia="宋体"/>
      <w:kern w:val="2"/>
      <w:sz w:val="21"/>
      <w:lang w:val="en-US" w:eastAsia="zh-CN" w:bidi="ar-SA"/>
    </w:rPr>
  </w:style>
  <w:style w:type="character" w:customStyle="1" w:styleId="60">
    <w:name w:val="font21"/>
    <w:basedOn w:val="24"/>
    <w:qFormat/>
    <w:uiPriority w:val="0"/>
    <w:rPr>
      <w:rFonts w:hint="eastAsia" w:ascii="宋体" w:hAnsi="宋体" w:eastAsia="宋体" w:cs="宋体"/>
      <w:color w:val="000000"/>
      <w:sz w:val="20"/>
      <w:szCs w:val="20"/>
      <w:u w:val="none"/>
    </w:rPr>
  </w:style>
  <w:style w:type="character" w:customStyle="1" w:styleId="61">
    <w:name w:val="font31"/>
    <w:basedOn w:val="24"/>
    <w:qFormat/>
    <w:uiPriority w:val="0"/>
    <w:rPr>
      <w:rFonts w:ascii="宋体" w:hAnsi="宋体" w:eastAsia="宋体" w:cs="宋体"/>
      <w:color w:val="000000"/>
      <w:sz w:val="20"/>
      <w:szCs w:val="20"/>
      <w:u w:val="none"/>
    </w:rPr>
  </w:style>
  <w:style w:type="character" w:customStyle="1" w:styleId="62">
    <w:name w:val="font51"/>
    <w:basedOn w:val="24"/>
    <w:qFormat/>
    <w:uiPriority w:val="0"/>
    <w:rPr>
      <w:rFonts w:hint="eastAsia" w:ascii="宋体" w:hAnsi="宋体" w:eastAsia="宋体" w:cs="宋体"/>
      <w:color w:val="000000"/>
      <w:sz w:val="20"/>
      <w:szCs w:val="20"/>
      <w:u w:val="none"/>
    </w:rPr>
  </w:style>
  <w:style w:type="character" w:customStyle="1" w:styleId="63">
    <w:name w:val="font81"/>
    <w:basedOn w:val="24"/>
    <w:qFormat/>
    <w:uiPriority w:val="0"/>
    <w:rPr>
      <w:rFonts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肥皂">
  <a:themeElements>
    <a:clrScheme name="肥皂">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肥皂">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肥皂">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B852FA-19FA-45F0-897B-40266A55E046}">
  <ds:schemaRefs/>
</ds:datastoreItem>
</file>

<file path=docProps/app.xml><?xml version="1.0" encoding="utf-8"?>
<Properties xmlns="http://schemas.openxmlformats.org/officeDocument/2006/extended-properties" xmlns:vt="http://schemas.openxmlformats.org/officeDocument/2006/docPropsVTypes">
  <Template>Normal</Template>
  <Pages>11</Pages>
  <Words>3030</Words>
  <Characters>3289</Characters>
  <Lines>19</Lines>
  <Paragraphs>5</Paragraphs>
  <TotalTime>31</TotalTime>
  <ScaleCrop>false</ScaleCrop>
  <LinksUpToDate>false</LinksUpToDate>
  <CharactersWithSpaces>3546</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2020-04-22T10:27:00Z</dcterms:created>
  <dc:creator>树亮 门</dc:creator>
  <cp:lastModifiedBy>陈惠琳</cp:lastModifiedBy>
  <dcterms:modified xsi:type="dcterms:W3CDTF">2022-08-15T01:26:14Z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20E977A0E1A445FF98FA1FB5C89C3E60</vt:lpwstr>
  </property>
</Properties>
</file>