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eastAsia" w:ascii="仿宋" w:hAnsi="仿宋" w:eastAsia="仿宋"/>
          <w:b/>
          <w:sz w:val="72"/>
          <w:szCs w:val="72"/>
          <w:lang w:val="en-US" w:eastAsia="zh-CN"/>
        </w:rPr>
      </w:pPr>
      <w:bookmarkStart w:id="0" w:name="_Hlk38472698"/>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教务系统服务器采购</w:t>
      </w:r>
      <w:r>
        <w:rPr>
          <w:rFonts w:hint="eastAsia" w:ascii="仿宋" w:hAnsi="仿宋" w:eastAsia="仿宋"/>
          <w:b/>
          <w:sz w:val="44"/>
          <w:szCs w:val="44"/>
        </w:rPr>
        <w:t>项目</w:t>
      </w:r>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ind w:firstLine="2331" w:firstLineChars="645"/>
        <w:rPr>
          <w:rFonts w:hint="default" w:ascii="仿宋" w:hAnsi="仿宋" w:eastAsia="仿宋"/>
          <w:b/>
          <w:color w:val="000000" w:themeColor="text1"/>
          <w:sz w:val="36"/>
          <w:szCs w:val="36"/>
          <w:lang w:val="en-US" w:eastAsia="zh-CN"/>
          <w14:textFill>
            <w14:solidFill>
              <w14:schemeClr w14:val="tx1"/>
            </w14:solidFill>
          </w14:textFill>
        </w:rPr>
      </w:pPr>
      <w:r>
        <w:rPr>
          <w:rFonts w:hint="eastAsia" w:ascii="仿宋" w:hAnsi="仿宋" w:eastAsia="仿宋"/>
          <w:b/>
          <w:sz w:val="36"/>
          <w:szCs w:val="36"/>
        </w:rPr>
        <w:t>项目编号：</w:t>
      </w:r>
      <w:r>
        <w:rPr>
          <w:rFonts w:hint="eastAsia" w:ascii="仿宋" w:hAnsi="仿宋" w:eastAsia="仿宋"/>
          <w:b/>
          <w:sz w:val="36"/>
          <w:szCs w:val="36"/>
          <w:lang w:val="en-US" w:eastAsia="zh-CN"/>
        </w:rPr>
        <w:t>B-XJ2022-02</w:t>
      </w:r>
    </w:p>
    <w:p>
      <w:pPr>
        <w:spacing w:line="500" w:lineRule="exact"/>
        <w:ind w:firstLine="2331" w:firstLineChars="645"/>
        <w:jc w:val="both"/>
        <w:rPr>
          <w:rFonts w:hint="default" w:ascii="仿宋" w:hAnsi="仿宋" w:eastAsia="仿宋"/>
          <w:b/>
          <w:color w:val="FF0000"/>
          <w:sz w:val="36"/>
          <w:szCs w:val="36"/>
          <w:lang w:val="en-US" w:eastAsia="zh-CN"/>
        </w:rPr>
        <w:sectPr>
          <w:headerReference r:id="rId6" w:type="first"/>
          <w:headerReference r:id="rId5" w:type="default"/>
          <w:footerReference r:id="rId7" w:type="default"/>
          <w:pgSz w:w="11906" w:h="16838"/>
          <w:pgMar w:top="1440" w:right="1416" w:bottom="1440" w:left="1134" w:header="851" w:footer="227" w:gutter="0"/>
          <w:cols w:space="425" w:num="1"/>
          <w:titlePg/>
          <w:docGrid w:type="lines" w:linePitch="312" w:charSpace="0"/>
        </w:sectPr>
      </w:pPr>
      <w:bookmarkStart w:id="1" w:name="_Toc169332792"/>
      <w:bookmarkStart w:id="2" w:name="_Toc160880485"/>
      <w:bookmarkStart w:id="3" w:name="_Toc160880118"/>
      <w:r>
        <w:rPr>
          <w:rFonts w:hint="eastAsia" w:ascii="仿宋" w:hAnsi="仿宋" w:eastAsia="仿宋"/>
          <w:b/>
          <w:sz w:val="36"/>
          <w:szCs w:val="36"/>
        </w:rPr>
        <w:t>项目名称</w:t>
      </w:r>
      <w:bookmarkEnd w:id="1"/>
      <w:bookmarkEnd w:id="2"/>
      <w:bookmarkEnd w:id="3"/>
      <w:r>
        <w:rPr>
          <w:rFonts w:hint="eastAsia" w:ascii="仿宋" w:hAnsi="仿宋" w:eastAsia="仿宋"/>
          <w:b/>
          <w:sz w:val="36"/>
          <w:szCs w:val="36"/>
        </w:rPr>
        <w:t>：</w:t>
      </w:r>
      <w:bookmarkStart w:id="4" w:name="_Toc273178686"/>
      <w:bookmarkStart w:id="5" w:name="_Toc177985424"/>
      <w:bookmarkStart w:id="6" w:name="_Toc212526081"/>
      <w:bookmarkStart w:id="7" w:name="_Toc169332794"/>
      <w:bookmarkStart w:id="8" w:name="_Toc259692600"/>
      <w:bookmarkStart w:id="9" w:name="_Toc254790852"/>
      <w:bookmarkStart w:id="10" w:name="_Toc266868924"/>
      <w:bookmarkStart w:id="11" w:name="_Toc212454753"/>
      <w:bookmarkStart w:id="12" w:name="_Toc267059010"/>
      <w:bookmarkStart w:id="13" w:name="_Toc253066567"/>
      <w:bookmarkStart w:id="14" w:name="_Toc266870386"/>
      <w:bookmarkStart w:id="15" w:name="_Toc207014580"/>
      <w:bookmarkStart w:id="16" w:name="_Toc212456146"/>
      <w:bookmarkStart w:id="17" w:name="_Toc170798743"/>
      <w:bookmarkStart w:id="18" w:name="_Toc169332904"/>
      <w:bookmarkStart w:id="19" w:name="_Toc212530253"/>
      <w:bookmarkStart w:id="20" w:name="_Toc267059519"/>
      <w:bookmarkStart w:id="21" w:name="_Toc225669277"/>
      <w:bookmarkStart w:id="22" w:name="_Toc219800200"/>
      <w:bookmarkStart w:id="23" w:name="_Toc223146565"/>
      <w:bookmarkStart w:id="24" w:name="_Toc267059633"/>
      <w:bookmarkStart w:id="25" w:name="_Toc267059899"/>
      <w:bookmarkStart w:id="26" w:name="_Toc266868624"/>
      <w:bookmarkStart w:id="27" w:name="_Toc235438227"/>
      <w:bookmarkStart w:id="28" w:name="_Toc249325665"/>
      <w:bookmarkStart w:id="29" w:name="_Toc267059161"/>
      <w:bookmarkStart w:id="30" w:name="_Toc235437942"/>
      <w:bookmarkStart w:id="31" w:name="_Toc251613780"/>
      <w:bookmarkStart w:id="32" w:name="_Toc251586187"/>
      <w:bookmarkStart w:id="33" w:name="_Toc267060022"/>
      <w:bookmarkStart w:id="34" w:name="_Toc267059786"/>
      <w:bookmarkStart w:id="35" w:name="_Toc267060407"/>
      <w:bookmarkStart w:id="36" w:name="_Toc216241307"/>
      <w:bookmarkStart w:id="37" w:name="_Toc255974963"/>
      <w:bookmarkStart w:id="38" w:name="_Toc211937196"/>
      <w:bookmarkStart w:id="39" w:name="_Toc235438297"/>
      <w:bookmarkStart w:id="40" w:name="_Toc259692693"/>
      <w:bookmarkStart w:id="41" w:name="_Toc267060162"/>
      <w:bookmarkStart w:id="42" w:name="_Toc258401210"/>
      <w:bookmarkStart w:id="43" w:name="_Toc259520819"/>
      <w:bookmarkStart w:id="44" w:name="_Toc236021402"/>
      <w:bookmarkStart w:id="45" w:name="_Toc160880487"/>
      <w:bookmarkStart w:id="46" w:name="_Toc266870861"/>
      <w:bookmarkStart w:id="47" w:name="_Toc217891359"/>
      <w:bookmarkStart w:id="48" w:name="_Toc227058483"/>
      <w:r>
        <w:rPr>
          <w:rFonts w:hint="eastAsia" w:ascii="仿宋" w:hAnsi="仿宋" w:eastAsia="仿宋"/>
          <w:b/>
          <w:sz w:val="36"/>
          <w:szCs w:val="36"/>
          <w:lang w:val="en-US" w:eastAsia="zh-CN"/>
        </w:rPr>
        <w:t>教务系统服务器采购项目</w:t>
      </w:r>
    </w:p>
    <w:p>
      <w:pPr>
        <w:pStyle w:val="50"/>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keepNext w:val="0"/>
        <w:keepLines w:val="0"/>
        <w:pageBreakBefore w:val="0"/>
        <w:kinsoku/>
        <w:wordWrap/>
        <w:overflowPunct/>
        <w:topLinePunct w:val="0"/>
        <w:autoSpaceDE/>
        <w:autoSpaceDN/>
        <w:bidi w:val="0"/>
        <w:adjustRightInd/>
        <w:snapToGrid/>
        <w:spacing w:after="0" w:line="440" w:lineRule="exact"/>
        <w:ind w:firstLine="560" w:firstLineChars="200"/>
        <w:textAlignment w:val="auto"/>
        <w:rPr>
          <w:rFonts w:ascii="仿宋" w:hAnsi="仿宋" w:eastAsia="仿宋"/>
          <w:color w:val="000000"/>
          <w:sz w:val="28"/>
          <w:szCs w:val="28"/>
        </w:rPr>
      </w:pPr>
      <w:bookmarkStart w:id="49" w:name="_Hlk10840310"/>
      <w:r>
        <w:rPr>
          <w:rFonts w:hint="eastAsia" w:ascii="仿宋" w:hAnsi="仿宋" w:eastAsia="仿宋" w:cs="仿宋"/>
          <w:color w:val="auto"/>
          <w:sz w:val="28"/>
          <w:szCs w:val="28"/>
        </w:rPr>
        <w:t>广州松田职业学院是一所经</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广东省人民政府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批准、</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"https://baike.baidu.com/item/%E6%95%99%E8%82%B2%E9%83%A8/239078"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教育部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备案的全日制普通高等职业学院，是中国教育集团（港股代码：00839）旗下的高校。根据需要，对</w:t>
      </w:r>
      <w:r>
        <w:rPr>
          <w:rFonts w:hint="eastAsia" w:ascii="仿宋" w:hAnsi="仿宋" w:eastAsia="仿宋" w:cs="仿宋"/>
          <w:color w:val="auto"/>
          <w:sz w:val="28"/>
          <w:szCs w:val="28"/>
          <w:lang w:val="en-US" w:eastAsia="zh-CN"/>
        </w:rPr>
        <w:t>本次项目</w:t>
      </w:r>
      <w:r>
        <w:rPr>
          <w:rFonts w:hint="eastAsia" w:ascii="仿宋" w:hAnsi="仿宋" w:eastAsia="仿宋" w:cs="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一、项目说明</w:t>
      </w:r>
    </w:p>
    <w:p>
      <w:pPr>
        <w:widowControl w:val="0"/>
        <w:numPr>
          <w:ilvl w:val="1"/>
          <w:numId w:val="1"/>
        </w:numPr>
        <w:spacing w:after="0" w:line="500" w:lineRule="exact"/>
        <w:ind w:left="859" w:leftChars="0" w:firstLineChars="0"/>
        <w:rPr>
          <w:rFonts w:ascii="仿宋" w:hAnsi="仿宋" w:eastAsia="仿宋"/>
          <w:sz w:val="28"/>
          <w:szCs w:val="28"/>
          <w:highlight w:val="none"/>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B-XJ2022-02</w:t>
      </w:r>
    </w:p>
    <w:p>
      <w:pPr>
        <w:widowControl w:val="0"/>
        <w:numPr>
          <w:ilvl w:val="1"/>
          <w:numId w:val="1"/>
        </w:numPr>
        <w:spacing w:after="0" w:line="500" w:lineRule="exact"/>
        <w:ind w:left="859" w:leftChars="0" w:firstLineChars="0"/>
        <w:rPr>
          <w:rFonts w:ascii="仿宋" w:hAnsi="仿宋" w:eastAsia="仿宋"/>
          <w:sz w:val="28"/>
          <w:szCs w:val="28"/>
          <w:highlight w:val="none"/>
        </w:rPr>
      </w:pPr>
      <w:r>
        <w:rPr>
          <w:rFonts w:hint="eastAsia" w:ascii="仿宋" w:hAnsi="仿宋" w:eastAsia="仿宋"/>
          <w:sz w:val="28"/>
          <w:szCs w:val="28"/>
          <w:highlight w:val="none"/>
        </w:rPr>
        <w:t>项目名称：</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教务系统服务器采购项目</w:t>
      </w:r>
    </w:p>
    <w:p>
      <w:pPr>
        <w:widowControl w:val="0"/>
        <w:numPr>
          <w:ilvl w:val="1"/>
          <w:numId w:val="1"/>
        </w:numPr>
        <w:spacing w:after="0" w:line="500" w:lineRule="exact"/>
        <w:ind w:left="859" w:leftChars="0" w:firstLineChars="0"/>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ind w:left="859" w:leftChars="0" w:firstLineChars="0"/>
        <w:rPr>
          <w:rFonts w:ascii="仿宋" w:hAnsi="仿宋" w:eastAsia="仿宋"/>
          <w:sz w:val="28"/>
          <w:szCs w:val="28"/>
        </w:rPr>
      </w:pPr>
      <w:r>
        <w:rPr>
          <w:rFonts w:hint="eastAsia" w:ascii="仿宋" w:hAnsi="仿宋" w:eastAsia="仿宋"/>
          <w:sz w:val="28"/>
          <w:szCs w:val="28"/>
        </w:rPr>
        <w:t>参与人资格标准：</w:t>
      </w:r>
    </w:p>
    <w:p>
      <w:pPr>
        <w:pStyle w:val="53"/>
        <w:numPr>
          <w:ilvl w:val="0"/>
          <w:numId w:val="2"/>
        </w:numPr>
        <w:spacing w:after="0" w:line="500" w:lineRule="exact"/>
        <w:ind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参与人应具有独立法人资格的生产厂商或授权经销商。</w:t>
      </w:r>
    </w:p>
    <w:p>
      <w:pPr>
        <w:pStyle w:val="53"/>
        <w:numPr>
          <w:ilvl w:val="0"/>
          <w:numId w:val="2"/>
        </w:numPr>
        <w:spacing w:after="0" w:line="500" w:lineRule="exact"/>
        <w:ind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参与人应具有合法有效的营业执照，经营范围应包括</w:t>
      </w:r>
      <w:r>
        <w:rPr>
          <w:rFonts w:hint="eastAsia" w:ascii="仿宋" w:hAnsi="仿宋" w:eastAsia="仿宋"/>
          <w:color w:val="auto"/>
          <w:sz w:val="28"/>
          <w:szCs w:val="28"/>
          <w:highlight w:val="none"/>
          <w:lang w:val="en-US" w:eastAsia="zh-CN"/>
        </w:rPr>
        <w:t>设备安装</w:t>
      </w:r>
      <w:r>
        <w:rPr>
          <w:rFonts w:hint="eastAsia" w:ascii="仿宋" w:hAnsi="仿宋" w:eastAsia="仿宋"/>
          <w:color w:val="auto"/>
          <w:sz w:val="28"/>
          <w:szCs w:val="28"/>
          <w:highlight w:val="none"/>
        </w:rPr>
        <w:t>资质</w:t>
      </w:r>
    </w:p>
    <w:p>
      <w:pPr>
        <w:spacing w:after="0" w:line="500" w:lineRule="exact"/>
        <w:ind w:left="1410" w:leftChars="322" w:hanging="702" w:hangingChars="251"/>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3</w:t>
      </w:r>
      <w:r>
        <w:rPr>
          <w:rFonts w:hint="eastAsia" w:ascii="仿宋" w:hAnsi="仿宋" w:eastAsia="仿宋"/>
          <w:color w:val="auto"/>
          <w:sz w:val="28"/>
          <w:szCs w:val="28"/>
          <w:highlight w:val="none"/>
        </w:rPr>
        <w:t>）参与人应具</w:t>
      </w:r>
      <w:r>
        <w:rPr>
          <w:rFonts w:ascii="仿宋" w:hAnsi="仿宋" w:eastAsia="仿宋"/>
          <w:color w:val="auto"/>
          <w:sz w:val="28"/>
          <w:szCs w:val="28"/>
          <w:highlight w:val="none"/>
        </w:rPr>
        <w:t>有提</w:t>
      </w:r>
      <w:r>
        <w:rPr>
          <w:rFonts w:hint="eastAsia" w:ascii="仿宋" w:hAnsi="仿宋" w:eastAsia="仿宋"/>
          <w:color w:val="auto"/>
          <w:sz w:val="28"/>
          <w:szCs w:val="28"/>
          <w:highlight w:val="none"/>
        </w:rPr>
        <w:t>供</w:t>
      </w:r>
      <w:r>
        <w:rPr>
          <w:rFonts w:hint="eastAsia" w:ascii="仿宋" w:hAnsi="仿宋" w:eastAsia="仿宋"/>
          <w:color w:val="auto"/>
          <w:sz w:val="28"/>
          <w:szCs w:val="28"/>
          <w:highlight w:val="none"/>
          <w:lang w:val="en-US" w:eastAsia="zh-CN"/>
        </w:rPr>
        <w:t>教务系统服务器设备</w:t>
      </w:r>
      <w:r>
        <w:rPr>
          <w:rFonts w:ascii="仿宋" w:hAnsi="仿宋" w:eastAsia="仿宋"/>
          <w:color w:val="auto"/>
          <w:sz w:val="28"/>
          <w:szCs w:val="28"/>
          <w:highlight w:val="none"/>
        </w:rPr>
        <w:t>和服务的资格</w:t>
      </w:r>
      <w:r>
        <w:rPr>
          <w:rFonts w:hint="eastAsia" w:ascii="仿宋" w:hAnsi="仿宋" w:eastAsia="仿宋"/>
          <w:color w:val="auto"/>
          <w:sz w:val="28"/>
          <w:szCs w:val="28"/>
          <w:highlight w:val="none"/>
        </w:rPr>
        <w:t>及</w:t>
      </w:r>
      <w:r>
        <w:rPr>
          <w:rFonts w:ascii="仿宋" w:hAnsi="仿宋" w:eastAsia="仿宋"/>
          <w:color w:val="auto"/>
          <w:sz w:val="28"/>
          <w:szCs w:val="28"/>
          <w:highlight w:val="none"/>
        </w:rPr>
        <w:t>能力</w:t>
      </w:r>
      <w:r>
        <w:rPr>
          <w:rFonts w:hint="eastAsia" w:ascii="仿宋" w:hAnsi="仿宋" w:eastAsia="仿宋"/>
          <w:color w:val="auto"/>
          <w:sz w:val="28"/>
          <w:szCs w:val="28"/>
          <w:highlight w:val="none"/>
        </w:rPr>
        <w:t>。在</w:t>
      </w:r>
      <w:r>
        <w:rPr>
          <w:rFonts w:hint="eastAsia" w:ascii="仿宋" w:hAnsi="仿宋" w:eastAsia="仿宋"/>
          <w:color w:val="auto"/>
          <w:sz w:val="28"/>
          <w:szCs w:val="28"/>
          <w:highlight w:val="none"/>
          <w:lang w:val="en-US" w:eastAsia="zh-CN"/>
        </w:rPr>
        <w:t>广州</w:t>
      </w:r>
      <w:r>
        <w:rPr>
          <w:rFonts w:hint="eastAsia" w:ascii="仿宋" w:hAnsi="仿宋" w:eastAsia="仿宋"/>
          <w:color w:val="auto"/>
          <w:sz w:val="28"/>
          <w:szCs w:val="28"/>
          <w:highlight w:val="none"/>
        </w:rPr>
        <w:t>市范围有固定售后服务机构，具备相应的维护保养能力。</w:t>
      </w:r>
    </w:p>
    <w:p>
      <w:pPr>
        <w:widowControl w:val="0"/>
        <w:numPr>
          <w:ilvl w:val="1"/>
          <w:numId w:val="1"/>
        </w:numPr>
        <w:spacing w:after="0" w:line="500" w:lineRule="exact"/>
        <w:ind w:left="859" w:leftChars="0" w:firstLineChars="0"/>
        <w:rPr>
          <w:rFonts w:ascii="仿宋" w:hAnsi="仿宋" w:eastAsia="仿宋"/>
          <w:sz w:val="28"/>
          <w:szCs w:val="28"/>
          <w:shd w:val="clear" w:color="auto" w:fill="FFFFFF"/>
        </w:rPr>
      </w:pPr>
      <w:r>
        <w:rPr>
          <w:rFonts w:hint="eastAsia" w:ascii="仿宋" w:hAnsi="仿宋" w:eastAsia="仿宋"/>
          <w:sz w:val="28"/>
          <w:szCs w:val="28"/>
        </w:rPr>
        <w:t>报价响应文件递交方式：密封报价，按规定时间送达</w:t>
      </w:r>
      <w:r>
        <w:rPr>
          <w:rFonts w:hint="eastAsia" w:ascii="仿宋" w:hAnsi="仿宋" w:eastAsia="仿宋"/>
          <w:sz w:val="28"/>
          <w:szCs w:val="28"/>
          <w:lang w:eastAsia="zh-CN"/>
        </w:rPr>
        <w:t>（</w:t>
      </w:r>
      <w:r>
        <w:rPr>
          <w:rFonts w:hint="eastAsia" w:ascii="仿宋" w:hAnsi="仿宋" w:eastAsia="仿宋"/>
          <w:sz w:val="28"/>
          <w:szCs w:val="28"/>
          <w:lang w:val="en-US" w:eastAsia="zh-CN"/>
        </w:rPr>
        <w:t>现场递交</w:t>
      </w:r>
      <w:r>
        <w:rPr>
          <w:rFonts w:hint="eastAsia" w:ascii="仿宋" w:hAnsi="仿宋" w:eastAsia="仿宋"/>
          <w:sz w:val="28"/>
          <w:szCs w:val="28"/>
          <w:lang w:eastAsia="zh-CN"/>
        </w:rPr>
        <w:t>）</w:t>
      </w:r>
      <w:r>
        <w:rPr>
          <w:rFonts w:hint="eastAsia" w:ascii="仿宋" w:hAnsi="仿宋" w:eastAsia="仿宋"/>
          <w:sz w:val="28"/>
          <w:szCs w:val="28"/>
        </w:rPr>
        <w:t>。</w:t>
      </w:r>
    </w:p>
    <w:p>
      <w:pPr>
        <w:widowControl w:val="0"/>
        <w:numPr>
          <w:ilvl w:val="1"/>
          <w:numId w:val="1"/>
        </w:numPr>
        <w:spacing w:after="0" w:line="500" w:lineRule="exact"/>
        <w:ind w:left="859" w:leftChars="0" w:firstLineChars="0"/>
        <w:rPr>
          <w:rFonts w:ascii="仿宋" w:hAnsi="仿宋" w:eastAsia="仿宋"/>
          <w:sz w:val="28"/>
          <w:szCs w:val="28"/>
          <w:shd w:val="clear" w:color="auto" w:fill="FFFFFF"/>
        </w:rPr>
      </w:pPr>
      <w:r>
        <w:rPr>
          <w:rFonts w:hint="eastAsia" w:ascii="仿宋" w:hAnsi="仿宋" w:eastAsia="仿宋"/>
          <w:sz w:val="28"/>
          <w:szCs w:val="28"/>
        </w:rPr>
        <w:t>报价响应文件递交截止时间</w:t>
      </w:r>
      <w:r>
        <w:rPr>
          <w:rFonts w:hint="eastAsia" w:ascii="仿宋" w:hAnsi="仿宋" w:eastAsia="仿宋"/>
          <w:sz w:val="28"/>
          <w:szCs w:val="28"/>
          <w:shd w:val="clear" w:color="auto" w:fill="FFFFFF"/>
        </w:rPr>
        <w:t>：20</w:t>
      </w:r>
      <w:r>
        <w:rPr>
          <w:rFonts w:ascii="仿宋" w:hAnsi="仿宋" w:eastAsia="仿宋"/>
          <w:sz w:val="28"/>
          <w:szCs w:val="28"/>
          <w:shd w:val="clear" w:color="auto" w:fill="FFFFFF"/>
        </w:rPr>
        <w:t>2</w:t>
      </w:r>
      <w:r>
        <w:rPr>
          <w:rFonts w:hint="eastAsia" w:ascii="仿宋" w:hAnsi="仿宋" w:eastAsia="仿宋"/>
          <w:sz w:val="28"/>
          <w:szCs w:val="28"/>
          <w:shd w:val="clear" w:color="auto" w:fill="FFFFFF"/>
          <w:lang w:val="en-US" w:eastAsia="zh-CN"/>
        </w:rPr>
        <w:t>2</w:t>
      </w:r>
      <w:r>
        <w:rPr>
          <w:rFonts w:hint="eastAsia" w:ascii="仿宋" w:hAnsi="仿宋" w:eastAsia="仿宋"/>
          <w:sz w:val="28"/>
          <w:szCs w:val="28"/>
          <w:shd w:val="clear" w:color="auto" w:fill="FFFFFF"/>
        </w:rPr>
        <w:t>年</w:t>
      </w:r>
      <w:r>
        <w:rPr>
          <w:rFonts w:hint="eastAsia" w:ascii="仿宋" w:hAnsi="仿宋" w:eastAsia="仿宋"/>
          <w:sz w:val="28"/>
          <w:szCs w:val="28"/>
          <w:shd w:val="clear" w:color="auto" w:fill="FFFFFF"/>
          <w:lang w:val="en-US" w:eastAsia="zh-CN"/>
        </w:rPr>
        <w:t>02</w:t>
      </w:r>
      <w:r>
        <w:rPr>
          <w:rFonts w:ascii="仿宋" w:hAnsi="仿宋" w:eastAsia="仿宋"/>
          <w:sz w:val="28"/>
          <w:szCs w:val="28"/>
          <w:shd w:val="clear" w:color="auto" w:fill="FFFFFF"/>
        </w:rPr>
        <w:t>月</w:t>
      </w:r>
      <w:r>
        <w:rPr>
          <w:rFonts w:hint="eastAsia" w:ascii="仿宋" w:hAnsi="仿宋" w:eastAsia="仿宋"/>
          <w:sz w:val="28"/>
          <w:szCs w:val="28"/>
          <w:shd w:val="clear" w:color="auto" w:fill="FFFFFF"/>
          <w:lang w:val="en-US" w:eastAsia="zh-CN"/>
        </w:rPr>
        <w:t>18</w:t>
      </w:r>
      <w:r>
        <w:rPr>
          <w:rFonts w:ascii="仿宋" w:hAnsi="仿宋" w:eastAsia="仿宋"/>
          <w:sz w:val="28"/>
          <w:szCs w:val="28"/>
          <w:shd w:val="clear" w:color="auto" w:fill="FFFFFF"/>
        </w:rPr>
        <w:t>日</w:t>
      </w:r>
      <w:r>
        <w:rPr>
          <w:rFonts w:hint="eastAsia" w:ascii="仿宋" w:hAnsi="仿宋" w:eastAsia="仿宋"/>
          <w:sz w:val="28"/>
          <w:szCs w:val="28"/>
          <w:shd w:val="clear" w:color="auto" w:fill="FFFFFF"/>
          <w:lang w:val="en-US" w:eastAsia="zh-CN"/>
        </w:rPr>
        <w:t>上午11:00</w:t>
      </w:r>
      <w:r>
        <w:rPr>
          <w:rFonts w:hint="eastAsia" w:ascii="仿宋" w:hAnsi="仿宋" w:eastAsia="仿宋"/>
          <w:sz w:val="28"/>
          <w:szCs w:val="28"/>
          <w:shd w:val="clear" w:color="auto" w:fill="FFFFFF"/>
        </w:rPr>
        <w:t>前。</w:t>
      </w:r>
    </w:p>
    <w:p>
      <w:pPr>
        <w:spacing w:after="0" w:line="500" w:lineRule="exact"/>
        <w:ind w:firstLine="420" w:firstLineChars="150"/>
        <w:rPr>
          <w:rFonts w:hint="default" w:ascii="仿宋" w:hAnsi="仿宋" w:eastAsia="仿宋"/>
          <w:sz w:val="28"/>
          <w:szCs w:val="28"/>
          <w:lang w:val="en-US" w:eastAsia="zh-CN"/>
        </w:rPr>
      </w:pPr>
      <w:r>
        <w:rPr>
          <w:rFonts w:ascii="仿宋" w:hAnsi="仿宋" w:eastAsia="仿宋"/>
          <w:sz w:val="28"/>
          <w:szCs w:val="28"/>
        </w:rPr>
        <w:t>7</w:t>
      </w:r>
      <w:r>
        <w:rPr>
          <w:rFonts w:hint="eastAsia" w:ascii="仿宋" w:hAnsi="仿宋" w:eastAsia="仿宋"/>
          <w:sz w:val="28"/>
          <w:szCs w:val="28"/>
        </w:rPr>
        <w:t>. 报价响应文件递交地点</w:t>
      </w:r>
      <w:r>
        <w:rPr>
          <w:rFonts w:hint="eastAsia" w:ascii="仿宋" w:hAnsi="仿宋" w:eastAsia="仿宋"/>
          <w:sz w:val="28"/>
          <w:szCs w:val="28"/>
          <w:lang w:eastAsia="zh-CN"/>
        </w:rPr>
        <w:t>：</w:t>
      </w:r>
      <w:r>
        <w:rPr>
          <w:rFonts w:hint="eastAsia" w:ascii="仿宋" w:hAnsi="仿宋" w:eastAsia="仿宋" w:cs="仿宋"/>
          <w:color w:val="auto"/>
          <w:sz w:val="28"/>
          <w:szCs w:val="28"/>
        </w:rPr>
        <w:t>广州市增城区朱村街朱村大道东432号</w:t>
      </w:r>
      <w:r>
        <w:rPr>
          <w:rFonts w:hint="eastAsia" w:ascii="仿宋" w:hAnsi="仿宋" w:eastAsia="仿宋" w:cs="仿宋"/>
          <w:color w:val="auto"/>
          <w:sz w:val="28"/>
          <w:szCs w:val="28"/>
          <w:lang w:eastAsia="zh-CN"/>
        </w:rPr>
        <w:t>广州松田职业学院</w:t>
      </w:r>
      <w:r>
        <w:rPr>
          <w:rFonts w:hint="eastAsia" w:ascii="仿宋" w:hAnsi="仿宋" w:eastAsia="仿宋" w:cs="仿宋"/>
          <w:color w:val="auto"/>
          <w:sz w:val="28"/>
          <w:szCs w:val="28"/>
        </w:rPr>
        <w:t>资产与采购处</w:t>
      </w:r>
      <w:r>
        <w:rPr>
          <w:rFonts w:hint="eastAsia" w:ascii="仿宋" w:hAnsi="仿宋" w:eastAsia="仿宋" w:cs="仿宋"/>
          <w:color w:val="auto"/>
          <w:sz w:val="28"/>
          <w:szCs w:val="28"/>
          <w:lang w:val="en-US" w:eastAsia="zh-CN"/>
        </w:rPr>
        <w:t>办公室。</w:t>
      </w:r>
    </w:p>
    <w:p>
      <w:pPr>
        <w:spacing w:after="0" w:line="500" w:lineRule="exact"/>
        <w:ind w:left="839"/>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lang w:val="en-US" w:eastAsia="zh-CN"/>
        </w:rPr>
        <w:t>吴谷芬</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lang w:val="en-US" w:eastAsia="zh-CN"/>
        </w:rPr>
        <w:t>18122166662。</w:t>
      </w:r>
    </w:p>
    <w:p>
      <w:pPr>
        <w:spacing w:after="0" w:line="500" w:lineRule="exact"/>
        <w:ind w:firstLine="425" w:firstLineChars="152"/>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所有货物均以人民币报价；</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hint="eastAsia" w:ascii="仿宋" w:hAnsi="仿宋" w:eastAsia="仿宋"/>
          <w:sz w:val="28"/>
          <w:szCs w:val="28"/>
        </w:rPr>
      </w:pPr>
      <w:r>
        <w:rPr>
          <w:rFonts w:hint="eastAsia" w:ascii="仿宋" w:hAnsi="仿宋" w:eastAsia="仿宋"/>
          <w:sz w:val="28"/>
          <w:szCs w:val="28"/>
        </w:rPr>
        <w:t>一个参与人只能提交一个报价响应文件</w:t>
      </w:r>
      <w:r>
        <w:rPr>
          <w:rFonts w:hint="eastAsia" w:ascii="仿宋" w:hAnsi="仿宋" w:eastAsia="仿宋"/>
          <w:sz w:val="28"/>
          <w:szCs w:val="28"/>
          <w:lang w:eastAsia="zh-CN"/>
        </w:rPr>
        <w:t>，</w:t>
      </w:r>
      <w:r>
        <w:rPr>
          <w:rFonts w:hint="eastAsia" w:ascii="仿宋" w:hAnsi="仿宋" w:eastAsia="仿宋"/>
          <w:sz w:val="28"/>
          <w:szCs w:val="28"/>
        </w:rPr>
        <w:t>参与人所投响应文件应分为</w:t>
      </w:r>
      <w:r>
        <w:rPr>
          <w:rFonts w:hint="eastAsia" w:ascii="仿宋" w:hAnsi="仿宋" w:eastAsia="仿宋"/>
          <w:b/>
          <w:bCs/>
          <w:sz w:val="28"/>
          <w:szCs w:val="28"/>
        </w:rPr>
        <w:t>商务部分以及技术部分两个文件并且独立密封</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技术部分不体现价格</w:t>
      </w:r>
      <w:r>
        <w:rPr>
          <w:rFonts w:hint="eastAsia" w:ascii="仿宋" w:hAnsi="仿宋" w:eastAsia="仿宋"/>
          <w:b/>
          <w:bCs/>
          <w:sz w:val="28"/>
          <w:szCs w:val="28"/>
          <w:lang w:eastAsia="zh-CN"/>
        </w:rPr>
        <w:t>）</w:t>
      </w:r>
      <w:r>
        <w:rPr>
          <w:rFonts w:hint="eastAsia" w:ascii="仿宋" w:hAnsi="仿宋" w:eastAsia="仿宋"/>
          <w:sz w:val="28"/>
          <w:szCs w:val="28"/>
        </w:rPr>
        <w:t>，提供正本：一份，副本：二份，文件必须用A4幅面纸张打印，应编制封面、目录、页码，必须用线装或胶装（为永久性、无破坏不可拆分）装订成册，</w:t>
      </w:r>
      <w:r>
        <w:rPr>
          <w:rFonts w:hint="eastAsia" w:ascii="仿宋" w:hAnsi="仿宋" w:eastAsia="仿宋"/>
          <w:b/>
          <w:bCs/>
          <w:sz w:val="28"/>
          <w:szCs w:val="28"/>
        </w:rPr>
        <w:t>在相应位置加盖公章</w:t>
      </w:r>
      <w:r>
        <w:rPr>
          <w:rFonts w:hint="eastAsia" w:ascii="仿宋" w:hAnsi="仿宋" w:eastAsia="仿宋"/>
          <w:sz w:val="28"/>
          <w:szCs w:val="28"/>
        </w:rPr>
        <w:t>，副本内容可以用正本的完整复印件。响应文件封面应标明“正本”、“副本”字样。正本与副本如有不一致，则以正本为准。本项目不接受联合体报价</w:t>
      </w:r>
      <w:r>
        <w:rPr>
          <w:rFonts w:hint="eastAsia" w:ascii="仿宋" w:hAnsi="仿宋" w:eastAsia="仿宋"/>
          <w:sz w:val="28"/>
          <w:szCs w:val="28"/>
          <w:lang w:eastAsia="zh-CN"/>
        </w:rPr>
        <w:t>。</w:t>
      </w:r>
    </w:p>
    <w:p>
      <w:pPr>
        <w:spacing w:after="0" w:line="500" w:lineRule="exact"/>
        <w:ind w:firstLine="425" w:firstLineChars="152"/>
        <w:jc w:val="left"/>
        <w:rPr>
          <w:rFonts w:ascii="仿宋" w:hAnsi="仿宋" w:eastAsia="仿宋"/>
          <w:color w:val="FF0000"/>
          <w:sz w:val="28"/>
          <w:szCs w:val="28"/>
        </w:rPr>
      </w:pPr>
      <w:r>
        <w:rPr>
          <w:rFonts w:hint="eastAsia" w:ascii="仿宋" w:hAnsi="仿宋" w:eastAsia="仿宋"/>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所投设备符合采购需求、质量和服务要求,经过磋商谈判所报价格为合理价格的参与人为成交参与人，最低报价不作为成交的保证。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0"/>
        <w:numPr>
          <w:ilvl w:val="0"/>
          <w:numId w:val="4"/>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0"/>
        <w:numPr>
          <w:ilvl w:val="0"/>
          <w:numId w:val="0"/>
        </w:numPr>
        <w:spacing w:line="360" w:lineRule="auto"/>
        <w:jc w:val="right"/>
        <w:outlineLvl w:val="0"/>
        <w:rPr>
          <w:rFonts w:hint="default" w:ascii="仿宋" w:hAnsi="仿宋" w:eastAsia="仿宋"/>
          <w:b/>
          <w:color w:val="auto"/>
          <w:sz w:val="28"/>
          <w:szCs w:val="28"/>
          <w:lang w:val="en-US" w:eastAsia="zh-CN"/>
        </w:rPr>
      </w:pPr>
      <w:r>
        <w:rPr>
          <w:rFonts w:hint="eastAsia" w:ascii="仿宋" w:hAnsi="仿宋" w:eastAsia="仿宋"/>
          <w:b/>
          <w:color w:val="auto"/>
          <w:sz w:val="28"/>
          <w:szCs w:val="28"/>
          <w:lang w:val="en-US" w:eastAsia="zh-CN"/>
        </w:rPr>
        <w:t>单位：元</w:t>
      </w:r>
    </w:p>
    <w:tbl>
      <w:tblPr>
        <w:tblStyle w:val="23"/>
        <w:tblW w:w="9402" w:type="dxa"/>
        <w:tblInd w:w="0" w:type="dxa"/>
        <w:tblLayout w:type="fixed"/>
        <w:tblCellMar>
          <w:top w:w="0" w:type="dxa"/>
          <w:left w:w="108" w:type="dxa"/>
          <w:bottom w:w="0" w:type="dxa"/>
          <w:right w:w="108" w:type="dxa"/>
        </w:tblCellMar>
      </w:tblPr>
      <w:tblGrid>
        <w:gridCol w:w="643"/>
        <w:gridCol w:w="1423"/>
        <w:gridCol w:w="3796"/>
        <w:gridCol w:w="422"/>
        <w:gridCol w:w="491"/>
        <w:gridCol w:w="696"/>
        <w:gridCol w:w="837"/>
        <w:gridCol w:w="1094"/>
      </w:tblGrid>
      <w:tr>
        <w:tblPrEx>
          <w:tblCellMar>
            <w:top w:w="0" w:type="dxa"/>
            <w:left w:w="108" w:type="dxa"/>
            <w:bottom w:w="0" w:type="dxa"/>
            <w:right w:w="108" w:type="dxa"/>
          </w:tblCellMar>
        </w:tblPrEx>
        <w:trPr>
          <w:trHeight w:val="523"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序号</w:t>
            </w:r>
          </w:p>
        </w:tc>
        <w:tc>
          <w:tcPr>
            <w:tcW w:w="142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设备名称</w:t>
            </w:r>
          </w:p>
        </w:tc>
        <w:tc>
          <w:tcPr>
            <w:tcW w:w="37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规格型号（技术参数）</w:t>
            </w:r>
          </w:p>
        </w:tc>
        <w:tc>
          <w:tcPr>
            <w:tcW w:w="42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单位</w:t>
            </w:r>
          </w:p>
        </w:tc>
        <w:tc>
          <w:tcPr>
            <w:tcW w:w="4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数量</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单价</w:t>
            </w:r>
          </w:p>
        </w:tc>
        <w:tc>
          <w:tcPr>
            <w:tcW w:w="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总价</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备注</w:t>
            </w:r>
          </w:p>
        </w:tc>
      </w:tr>
      <w:tr>
        <w:tblPrEx>
          <w:tblCellMar>
            <w:top w:w="0" w:type="dxa"/>
            <w:left w:w="108" w:type="dxa"/>
            <w:bottom w:w="0" w:type="dxa"/>
            <w:right w:w="108" w:type="dxa"/>
          </w:tblCellMar>
        </w:tblPrEx>
        <w:trPr>
          <w:trHeight w:val="1168"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14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数据库服务器</w:t>
            </w:r>
          </w:p>
        </w:tc>
        <w:tc>
          <w:tcPr>
            <w:tcW w:w="37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CPU：2颗8核、2.0GHZ以上；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内存：64G以上；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硬盘/存储： 本地磁盘4*900G SAS(15K)、RAD1，存储FC 1TB SAS(15K)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操作系统：Red Hat Linux 7 64bit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安装Oracle 11g(11.2.0.4)应用软件。</w:t>
            </w:r>
          </w:p>
        </w:tc>
        <w:tc>
          <w:tcPr>
            <w:tcW w:w="42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台</w:t>
            </w:r>
          </w:p>
        </w:tc>
        <w:tc>
          <w:tcPr>
            <w:tcW w:w="49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1</w:t>
            </w:r>
          </w:p>
        </w:tc>
        <w:tc>
          <w:tcPr>
            <w:tcW w:w="6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1168"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w:t>
            </w:r>
          </w:p>
        </w:tc>
        <w:tc>
          <w:tcPr>
            <w:tcW w:w="142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C/S应用服务器</w:t>
            </w:r>
          </w:p>
        </w:tc>
        <w:tc>
          <w:tcPr>
            <w:tcW w:w="37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CPU：1颗8核、2.0GHZ以上；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内存：32G；</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硬盘： 2*600G以上 SAS、RAD5，兼做数据备份服务器；</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操作系统：WINDOWS 2008 server 64位</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安装Oracle 11g(11.2.0.4)应用软件。</w:t>
            </w:r>
          </w:p>
        </w:tc>
        <w:tc>
          <w:tcPr>
            <w:tcW w:w="42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台</w:t>
            </w:r>
          </w:p>
        </w:tc>
        <w:tc>
          <w:tcPr>
            <w:tcW w:w="49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1</w:t>
            </w:r>
          </w:p>
        </w:tc>
        <w:tc>
          <w:tcPr>
            <w:tcW w:w="6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1690" w:hRule="atLeast"/>
        </w:trPr>
        <w:tc>
          <w:tcPr>
            <w:tcW w:w="643" w:type="dxa"/>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w:t>
            </w:r>
          </w:p>
        </w:tc>
        <w:tc>
          <w:tcPr>
            <w:tcW w:w="1423" w:type="dxa"/>
            <w:tcBorders>
              <w:top w:val="single" w:color="auto" w:sz="4" w:space="0"/>
              <w:left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WEB服务器</w:t>
            </w:r>
          </w:p>
        </w:tc>
        <w:tc>
          <w:tcPr>
            <w:tcW w:w="3796" w:type="dxa"/>
            <w:tcBorders>
              <w:top w:val="single" w:color="auto" w:sz="4" w:space="0"/>
              <w:left w:val="nil"/>
              <w:right w:val="single" w:color="auto" w:sz="4" w:space="0"/>
            </w:tcBorders>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CPU：1颗8核、2.0GHZ以上；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内存：16G；</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硬盘： 2*600G以上 SAS、RAD1操作系统：WINDOWS 2012 server 64位、WINDOWS 2016 server 64位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0" w:leftChars="0"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安装Oracle 11g(11.2.0.4)应用软件。</w:t>
            </w:r>
          </w:p>
        </w:tc>
        <w:tc>
          <w:tcPr>
            <w:tcW w:w="422"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台</w:t>
            </w:r>
          </w:p>
        </w:tc>
        <w:tc>
          <w:tcPr>
            <w:tcW w:w="491" w:type="dxa"/>
            <w:tcBorders>
              <w:top w:val="single" w:color="auto" w:sz="4" w:space="0"/>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sz w:val="21"/>
                <w:szCs w:val="21"/>
              </w:rPr>
              <w:t>2</w:t>
            </w:r>
          </w:p>
        </w:tc>
        <w:tc>
          <w:tcPr>
            <w:tcW w:w="696"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467" w:hRule="atLeast"/>
        </w:trPr>
        <w:tc>
          <w:tcPr>
            <w:tcW w:w="940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合计（含税）</w:t>
            </w: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color w:val="auto"/>
          <w:sz w:val="24"/>
          <w:szCs w:val="24"/>
        </w:rPr>
        <w:t>注：</w:t>
      </w:r>
      <w:bookmarkStart w:id="50" w:name="_Toc7354"/>
      <w:r>
        <w:rPr>
          <w:rFonts w:hint="eastAsia" w:ascii="仿宋" w:hAnsi="仿宋" w:eastAsia="仿宋" w:cs="仿宋"/>
          <w:bCs/>
          <w:sz w:val="24"/>
          <w:szCs w:val="24"/>
        </w:rPr>
        <w:t>（1）所有报价商品需要提供品牌、规格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w:t>
      </w:r>
      <w:r>
        <w:rPr>
          <w:rFonts w:hint="eastAsia" w:ascii="仿宋" w:hAnsi="仿宋" w:eastAsia="仿宋" w:cs="仿宋"/>
          <w:bCs/>
          <w:sz w:val="24"/>
          <w:szCs w:val="24"/>
          <w:lang w:val="en-US" w:eastAsia="zh-CN"/>
        </w:rPr>
        <w:t>5</w:t>
      </w:r>
      <w:r>
        <w:rPr>
          <w:rFonts w:hint="eastAsia" w:ascii="仿宋" w:hAnsi="仿宋" w:eastAsia="仿宋" w:cs="仿宋"/>
          <w:bCs/>
          <w:sz w:val="24"/>
          <w:szCs w:val="24"/>
        </w:rPr>
        <w:t>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rPr>
          <w:rFonts w:ascii="仿宋" w:hAnsi="仿宋" w:eastAsia="仿宋"/>
          <w:b/>
          <w:color w:val="FF0000"/>
          <w:sz w:val="36"/>
          <w:szCs w:val="36"/>
        </w:rPr>
      </w:pPr>
    </w:p>
    <w:p>
      <w:pPr>
        <w:rPr>
          <w:rFonts w:ascii="仿宋" w:hAnsi="仿宋" w:eastAsia="仿宋"/>
          <w:b/>
          <w:color w:val="FF0000"/>
          <w:sz w:val="36"/>
          <w:szCs w:val="36"/>
        </w:rPr>
      </w:pPr>
    </w:p>
    <w:p>
      <w:pPr>
        <w:rPr>
          <w:rFonts w:ascii="仿宋" w:hAnsi="仿宋" w:eastAsia="仿宋"/>
          <w:b/>
          <w:color w:val="FF0000"/>
          <w:sz w:val="36"/>
          <w:szCs w:val="36"/>
        </w:rPr>
      </w:pPr>
    </w:p>
    <w:p>
      <w:pPr>
        <w:rPr>
          <w:rFonts w:ascii="仿宋" w:hAnsi="仿宋" w:eastAsia="仿宋"/>
          <w:b/>
          <w:color w:val="FF0000"/>
          <w:sz w:val="36"/>
          <w:szCs w:val="36"/>
        </w:rPr>
        <w:sectPr>
          <w:headerReference r:id="rId9" w:type="first"/>
          <w:headerReference r:id="rId8" w:type="default"/>
          <w:pgSz w:w="11906" w:h="16838"/>
          <w:pgMar w:top="1440" w:right="1416" w:bottom="1440" w:left="1134" w:header="851" w:footer="227" w:gutter="0"/>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bookmarkStart w:id="185" w:name="_GoBack"/>
      <w:bookmarkEnd w:id="185"/>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教务系统服务器采购</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8"/>
          <w:szCs w:val="28"/>
        </w:rPr>
      </w:pPr>
      <w:bookmarkStart w:id="53" w:name="_Toc181436565"/>
      <w:bookmarkStart w:id="54" w:name="_Toc235437991"/>
      <w:bookmarkStart w:id="55" w:name="_Toc213755995"/>
      <w:bookmarkStart w:id="56" w:name="_Toc258401256"/>
      <w:bookmarkStart w:id="57" w:name="_Toc191802690"/>
      <w:bookmarkStart w:id="58" w:name="_Toc254790899"/>
      <w:bookmarkStart w:id="59" w:name="_Toc273178698"/>
      <w:bookmarkStart w:id="60" w:name="_Toc266870907"/>
      <w:bookmarkStart w:id="61" w:name="_Toc193160448"/>
      <w:bookmarkStart w:id="62" w:name="_Toc259520865"/>
      <w:bookmarkStart w:id="63" w:name="_Toc191783222"/>
      <w:bookmarkStart w:id="64" w:name="_Toc251613829"/>
      <w:bookmarkStart w:id="65" w:name="_Toc259692740"/>
      <w:bookmarkStart w:id="66" w:name="_Toc236021449"/>
      <w:bookmarkStart w:id="67" w:name="_Toc267059919"/>
      <w:bookmarkStart w:id="68" w:name="_Toc251586231"/>
      <w:bookmarkStart w:id="69" w:name="_Toc213208766"/>
      <w:bookmarkStart w:id="70" w:name="_Toc267059181"/>
      <w:bookmarkStart w:id="71" w:name="_Toc180302913"/>
      <w:bookmarkStart w:id="72" w:name="_Toc227058530"/>
      <w:bookmarkStart w:id="73" w:name="_Toc177985469"/>
      <w:bookmarkStart w:id="74" w:name="_Toc267060208"/>
      <w:bookmarkStart w:id="75" w:name="_Toc191789329"/>
      <w:bookmarkStart w:id="76" w:name="_Toc169332949"/>
      <w:bookmarkStart w:id="77" w:name="_Toc266868937"/>
      <w:bookmarkStart w:id="78" w:name="_Toc267060321"/>
      <w:bookmarkStart w:id="79" w:name="_Toc192664153"/>
      <w:bookmarkStart w:id="80" w:name="_Toc235438344"/>
      <w:bookmarkStart w:id="81" w:name="_Toc181436461"/>
      <w:bookmarkStart w:id="82" w:name="_Toc267060453"/>
      <w:bookmarkStart w:id="83" w:name="_Toc267059030"/>
      <w:bookmarkStart w:id="84" w:name="_Toc225669322"/>
      <w:bookmarkStart w:id="85" w:name="_Toc266870833"/>
      <w:bookmarkStart w:id="86" w:name="_Toc267060068"/>
      <w:bookmarkStart w:id="87" w:name="_Toc170798793"/>
      <w:bookmarkStart w:id="88" w:name="_Toc223146608"/>
      <w:bookmarkStart w:id="89" w:name="_Toc232302115"/>
      <w:bookmarkStart w:id="90" w:name="_Toc230071147"/>
      <w:bookmarkStart w:id="91" w:name="_Toc217891402"/>
      <w:bookmarkStart w:id="92" w:name="_Toc266868670"/>
      <w:bookmarkStart w:id="93" w:name="_Toc267059806"/>
      <w:bookmarkStart w:id="94" w:name="_Toc253066614"/>
      <w:bookmarkStart w:id="95" w:name="_Toc235438274"/>
      <w:bookmarkStart w:id="96" w:name="_Toc249325711"/>
      <w:bookmarkStart w:id="97" w:name="_Toc211917116"/>
      <w:bookmarkStart w:id="98" w:name="_Toc160880529"/>
      <w:bookmarkStart w:id="99" w:name="_Toc213755858"/>
      <w:bookmarkStart w:id="100" w:name="_Toc192996338"/>
      <w:bookmarkStart w:id="101" w:name="_Toc219800243"/>
      <w:bookmarkStart w:id="102" w:name="_Toc192663686"/>
      <w:bookmarkStart w:id="103" w:name="_Toc169332838"/>
      <w:bookmarkStart w:id="104" w:name="_Toc192996446"/>
      <w:bookmarkStart w:id="105" w:name="_Toc259692647"/>
      <w:bookmarkStart w:id="106" w:name="_Toc191803626"/>
      <w:bookmarkStart w:id="107" w:name="_Toc160880160"/>
      <w:bookmarkStart w:id="108" w:name="_Toc213756051"/>
      <w:bookmarkStart w:id="109" w:name="_Toc213755939"/>
      <w:bookmarkStart w:id="110" w:name="_Toc255975007"/>
      <w:bookmarkStart w:id="111" w:name="_Toc203355733"/>
      <w:bookmarkStart w:id="112" w:name="_Toc267059653"/>
      <w:bookmarkStart w:id="113" w:name="_Toc192663835"/>
      <w:bookmarkStart w:id="114" w:name="_Toc182372782"/>
      <w:bookmarkStart w:id="115" w:name="_Toc267059539"/>
      <w:bookmarkStart w:id="116" w:name="_Toc266870432"/>
      <w:bookmarkStart w:id="117" w:name="_Toc193165734"/>
      <w:bookmarkStart w:id="118" w:name="_Toc182805217"/>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color w:val="auto"/>
          <w:sz w:val="28"/>
          <w:szCs w:val="28"/>
        </w:rPr>
        <w:t>询价响应函</w:t>
      </w:r>
    </w:p>
    <w:p>
      <w:pPr>
        <w:spacing w:after="0" w:line="4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广州松田职业学院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根据贵学校为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（全名、职务）正式授权并代表我方</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（参与人公司名称）提交下述文件。</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 报价一览表</w:t>
      </w:r>
    </w:p>
    <w:p>
      <w:pPr>
        <w:spacing w:after="0" w:line="480" w:lineRule="exact"/>
        <w:ind w:firstLine="425" w:firstLineChars="15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 参与人资质证明</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.参与人同意提供按照贵学校可能要求的与其公开询价有关的一切数据或资料，完全理解贵学校不一定要接受最低报价或收到的任何询价响应文件。</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w:t>
      </w:r>
    </w:p>
    <w:p>
      <w:pPr>
        <w:spacing w:after="0" w:line="480" w:lineRule="exact"/>
        <w:ind w:left="284" w:leftChars="129" w:firstLine="282" w:firstLineChars="101"/>
        <w:rPr>
          <w:rFonts w:ascii="仿宋" w:hAnsi="仿宋" w:eastAsia="仿宋"/>
          <w:sz w:val="28"/>
          <w:szCs w:val="28"/>
          <w:u w:val="single"/>
        </w:rPr>
      </w:pPr>
      <w:r>
        <w:rPr>
          <w:rFonts w:hint="eastAsia" w:ascii="仿宋" w:hAnsi="仿宋" w:eastAsia="仿宋"/>
          <w:sz w:val="28"/>
          <w:szCs w:val="28"/>
        </w:rPr>
        <w:t>参与人（公司全称并加盖公章）：</w:t>
      </w:r>
      <w:r>
        <w:rPr>
          <w:rFonts w:hint="eastAsia" w:ascii="仿宋" w:hAnsi="仿宋" w:eastAsia="仿宋"/>
          <w:sz w:val="28"/>
          <w:szCs w:val="28"/>
          <w:u w:val="single"/>
        </w:rPr>
        <w:t xml:space="preserve">                       </w:t>
      </w:r>
    </w:p>
    <w:p>
      <w:pPr>
        <w:spacing w:after="0" w:line="480" w:lineRule="exact"/>
        <w:ind w:left="284" w:leftChars="129" w:firstLine="282" w:firstLineChars="101"/>
        <w:rPr>
          <w:rFonts w:hint="eastAsia" w:ascii="仿宋" w:hAnsi="仿宋" w:eastAsia="仿宋"/>
          <w:sz w:val="28"/>
          <w:szCs w:val="28"/>
          <w:u w:val="single"/>
        </w:rPr>
      </w:pPr>
      <w:r>
        <w:rPr>
          <w:rFonts w:hint="eastAsia" w:ascii="仿宋" w:hAnsi="仿宋" w:eastAsia="仿宋"/>
          <w:sz w:val="28"/>
          <w:szCs w:val="28"/>
        </w:rPr>
        <w:t xml:space="preserve">参与人授权代表签字： </w:t>
      </w:r>
      <w:r>
        <w:rPr>
          <w:rFonts w:hint="eastAsia" w:ascii="仿宋" w:hAnsi="仿宋" w:eastAsia="仿宋"/>
          <w:sz w:val="28"/>
          <w:szCs w:val="28"/>
          <w:u w:val="single"/>
        </w:rPr>
        <w:t xml:space="preserve">                </w:t>
      </w:r>
    </w:p>
    <w:p>
      <w:pPr>
        <w:spacing w:after="0" w:line="480" w:lineRule="exact"/>
        <w:ind w:left="284" w:leftChars="129" w:firstLine="282" w:firstLineChars="101"/>
        <w:rPr>
          <w:rFonts w:hint="eastAsia" w:ascii="仿宋" w:hAnsi="仿宋" w:eastAsia="仿宋"/>
          <w:sz w:val="28"/>
          <w:szCs w:val="28"/>
          <w:u w:val="single"/>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 xml:space="preserve">话： </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hint="eastAsia" w:ascii="仿宋" w:hAnsi="仿宋" w:eastAsia="仿宋"/>
          <w:b/>
          <w:bCs/>
          <w:sz w:val="28"/>
          <w:szCs w:val="28"/>
        </w:rPr>
        <w:t>（手机号码）</w:t>
      </w:r>
    </w:p>
    <w:p>
      <w:pPr>
        <w:pStyle w:val="55"/>
        <w:spacing w:line="480" w:lineRule="exact"/>
        <w:ind w:firstLine="560" w:firstLineChars="200"/>
        <w:jc w:val="left"/>
        <w:outlineLvl w:val="9"/>
        <w:rPr>
          <w:rFonts w:ascii="仿宋" w:hAnsi="仿宋" w:eastAsia="仿宋"/>
          <w:szCs w:val="28"/>
        </w:rPr>
      </w:pPr>
      <w:r>
        <w:rPr>
          <w:rFonts w:hint="eastAsia" w:ascii="仿宋" w:hAnsi="仿宋" w:eastAsia="仿宋"/>
          <w:szCs w:val="28"/>
        </w:rPr>
        <w:t xml:space="preserve">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ascii="仿宋" w:hAnsi="仿宋" w:eastAsia="仿宋"/>
          <w:sz w:val="28"/>
          <w:szCs w:val="28"/>
        </w:rPr>
      </w:pPr>
      <w:r>
        <w:rPr>
          <w:rFonts w:hint="eastAsia" w:ascii="仿宋" w:hAnsi="仿宋" w:eastAsia="仿宋"/>
          <w:sz w:val="28"/>
          <w:szCs w:val="28"/>
        </w:rPr>
        <w:t>货币单位：</w:t>
      </w:r>
    </w:p>
    <w:tbl>
      <w:tblPr>
        <w:tblStyle w:val="23"/>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11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12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8"/>
          <w:szCs w:val="28"/>
        </w:rPr>
      </w:pPr>
    </w:p>
    <w:p>
      <w:pPr>
        <w:spacing w:line="380" w:lineRule="exact"/>
        <w:ind w:left="147" w:leftChars="67"/>
        <w:rPr>
          <w:rFonts w:ascii="仿宋" w:hAnsi="仿宋" w:eastAsia="仿宋"/>
          <w:sz w:val="28"/>
          <w:szCs w:val="28"/>
        </w:rPr>
      </w:pPr>
      <w:r>
        <w:rPr>
          <w:rFonts w:ascii="仿宋" w:hAnsi="仿宋" w:eastAsia="仿宋"/>
          <w:sz w:val="28"/>
          <w:szCs w:val="28"/>
        </w:rPr>
        <w:t>注：1.如果按单价计算的结果与总价不一致,以单价为准修正总价。</w:t>
      </w:r>
    </w:p>
    <w:p>
      <w:pPr>
        <w:spacing w:line="380" w:lineRule="exact"/>
        <w:ind w:left="147" w:leftChars="67" w:firstLine="560" w:firstLineChars="200"/>
        <w:rPr>
          <w:rFonts w:ascii="仿宋" w:hAnsi="仿宋" w:eastAsia="仿宋"/>
          <w:sz w:val="28"/>
          <w:szCs w:val="28"/>
        </w:rPr>
      </w:pPr>
      <w:r>
        <w:rPr>
          <w:rFonts w:ascii="仿宋" w:hAnsi="仿宋" w:eastAsia="仿宋"/>
          <w:sz w:val="28"/>
          <w:szCs w:val="28"/>
        </w:rPr>
        <w:t>2.如果不提供详细参数和报价将视为没有实质性响应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spacing w:after="0" w:line="300" w:lineRule="exact"/>
        <w:ind w:firstLine="560" w:firstLineChars="200"/>
        <w:rPr>
          <w:rFonts w:ascii="仿宋" w:hAnsi="仿宋" w:eastAsia="仿宋"/>
          <w:sz w:val="28"/>
          <w:szCs w:val="28"/>
          <w:lang w:val="zh-CN"/>
        </w:rPr>
      </w:pPr>
    </w:p>
    <w:p>
      <w:pPr>
        <w:spacing w:line="380" w:lineRule="exact"/>
        <w:rPr>
          <w:rFonts w:ascii="仿宋" w:hAnsi="仿宋" w:eastAsia="仿宋"/>
          <w:sz w:val="28"/>
          <w:szCs w:val="28"/>
          <w:lang w:val="zh-CN"/>
        </w:rPr>
      </w:pP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59692749"/>
      <w:bookmarkStart w:id="120" w:name="_Toc267059811"/>
      <w:bookmarkStart w:id="121" w:name="_Toc267059924"/>
      <w:bookmarkStart w:id="122" w:name="_Toc259520874"/>
      <w:bookmarkStart w:id="123" w:name="_Toc191803631"/>
      <w:bookmarkStart w:id="124" w:name="_Toc213756057"/>
      <w:bookmarkStart w:id="125" w:name="_Toc191783227"/>
      <w:bookmarkStart w:id="126" w:name="_Toc160880165"/>
      <w:bookmarkStart w:id="127" w:name="_Toc219800249"/>
      <w:bookmarkStart w:id="128" w:name="_Toc180302918"/>
      <w:bookmarkStart w:id="129" w:name="_Toc192663691"/>
      <w:bookmarkStart w:id="130" w:name="_Toc192996451"/>
      <w:bookmarkStart w:id="131" w:name="_Toc267059544"/>
      <w:bookmarkStart w:id="132" w:name="_Toc267059186"/>
      <w:bookmarkStart w:id="133" w:name="_Toc235438281"/>
      <w:bookmarkStart w:id="134" w:name="_Toc193165739"/>
      <w:bookmarkStart w:id="135" w:name="_Toc193160453"/>
      <w:bookmarkStart w:id="136" w:name="_Toc267060326"/>
      <w:bookmarkStart w:id="137" w:name="_Toc169332954"/>
      <w:bookmarkStart w:id="138" w:name="_Toc267059035"/>
      <w:bookmarkStart w:id="139" w:name="_Toc236021457"/>
      <w:bookmarkStart w:id="140" w:name="_Toc182372787"/>
      <w:bookmarkStart w:id="141" w:name="_Toc192663840"/>
      <w:bookmarkStart w:id="142" w:name="_Toc230071153"/>
      <w:bookmarkStart w:id="143" w:name="_Toc267060461"/>
      <w:bookmarkStart w:id="144" w:name="_Toc191802695"/>
      <w:bookmarkStart w:id="145" w:name="_Toc266870916"/>
      <w:bookmarkStart w:id="146" w:name="_Toc254790909"/>
      <w:bookmarkStart w:id="147" w:name="_Toc232302122"/>
      <w:bookmarkStart w:id="148" w:name="_Toc227058536"/>
      <w:bookmarkStart w:id="149" w:name="_Toc192996343"/>
      <w:bookmarkStart w:id="150" w:name="_Toc255975016"/>
      <w:bookmarkStart w:id="151" w:name="_Toc235437998"/>
      <w:bookmarkStart w:id="152" w:name="_Toc267060216"/>
      <w:bookmarkStart w:id="153" w:name="_Toc213755864"/>
      <w:bookmarkStart w:id="154" w:name="_Toc259692656"/>
      <w:bookmarkStart w:id="155" w:name="_Toc266868943"/>
      <w:bookmarkStart w:id="156" w:name="_Toc235438352"/>
      <w:bookmarkStart w:id="157" w:name="_Toc181436570"/>
      <w:bookmarkStart w:id="158" w:name="_Toc211917121"/>
      <w:bookmarkStart w:id="159" w:name="_Toc192664158"/>
      <w:bookmarkStart w:id="160" w:name="_Toc169332843"/>
      <w:bookmarkStart w:id="161" w:name="_Toc253066624"/>
      <w:bookmarkStart w:id="162" w:name="_Toc225669328"/>
      <w:bookmarkStart w:id="163" w:name="_Toc181436466"/>
      <w:bookmarkStart w:id="164" w:name="_Toc191789334"/>
      <w:bookmarkStart w:id="165" w:name="_Toc182805222"/>
      <w:bookmarkStart w:id="166" w:name="_Toc267059658"/>
      <w:bookmarkStart w:id="167" w:name="_Toc273178703"/>
      <w:bookmarkStart w:id="168" w:name="_Toc266870441"/>
      <w:bookmarkStart w:id="169" w:name="_Toc160880534"/>
      <w:bookmarkStart w:id="170" w:name="_Toc213208771"/>
      <w:bookmarkStart w:id="171" w:name="_Toc213755945"/>
      <w:bookmarkStart w:id="172" w:name="_Toc258401265"/>
      <w:bookmarkStart w:id="173" w:name="_Toc266868679"/>
      <w:bookmarkStart w:id="174" w:name="_Toc170798798"/>
      <w:bookmarkStart w:id="175" w:name="_Toc223146614"/>
      <w:bookmarkStart w:id="176" w:name="_Toc177985474"/>
      <w:bookmarkStart w:id="177" w:name="_Toc213756001"/>
      <w:bookmarkStart w:id="178" w:name="_Toc251613839"/>
      <w:bookmarkStart w:id="179" w:name="_Toc266870839"/>
      <w:bookmarkStart w:id="180" w:name="_Toc217891408"/>
      <w:bookmarkStart w:id="181" w:name="_Toc267060076"/>
      <w:bookmarkStart w:id="182" w:name="_Toc251586241"/>
      <w:bookmarkStart w:id="183" w:name="_Toc203355738"/>
      <w:bookmarkStart w:id="184" w:name="_Toc249325720"/>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bCs/>
          <w:sz w:val="28"/>
          <w:szCs w:val="28"/>
        </w:rPr>
      </w:pPr>
      <w:r>
        <w:rPr>
          <w:rFonts w:ascii="仿宋" w:hAnsi="仿宋" w:eastAsia="仿宋"/>
          <w:b/>
          <w:bCs/>
          <w:sz w:val="28"/>
          <w:szCs w:val="28"/>
        </w:rPr>
        <w:t>3</w:t>
      </w:r>
      <w:r>
        <w:rPr>
          <w:rFonts w:hint="eastAsia" w:ascii="仿宋" w:hAnsi="仿宋" w:eastAsia="仿宋"/>
          <w:b/>
          <w:bCs/>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仿宋" w:hAnsi="仿宋" w:eastAsia="仿宋"/>
          <w:b/>
          <w:bCs/>
          <w:sz w:val="28"/>
          <w:szCs w:val="28"/>
        </w:rPr>
        <w:t>参与人资质材料</w:t>
      </w:r>
    </w:p>
    <w:p>
      <w:pPr>
        <w:pStyle w:val="38"/>
      </w:pPr>
    </w:p>
    <w:p>
      <w:pPr>
        <w:spacing w:after="0" w:line="500" w:lineRule="exact"/>
        <w:rPr>
          <w:rFonts w:hint="eastAsia" w:ascii="仿宋" w:hAnsi="仿宋" w:eastAsia="仿宋"/>
          <w:sz w:val="28"/>
          <w:szCs w:val="28"/>
        </w:rPr>
      </w:pPr>
      <w:r>
        <w:rPr>
          <w:rFonts w:hint="eastAsia" w:ascii="仿宋" w:hAnsi="仿宋" w:eastAsia="仿宋"/>
          <w:sz w:val="28"/>
          <w:szCs w:val="28"/>
        </w:rPr>
        <w:t>参与人需要提供以下材料：</w:t>
      </w:r>
    </w:p>
    <w:p>
      <w:pPr>
        <w:pStyle w:val="53"/>
        <w:numPr>
          <w:ilvl w:val="0"/>
          <w:numId w:val="5"/>
        </w:numPr>
        <w:spacing w:after="0" w:line="500" w:lineRule="exact"/>
        <w:ind w:firstLineChars="0"/>
        <w:rPr>
          <w:rFonts w:ascii="仿宋" w:hAnsi="仿宋" w:eastAsia="仿宋"/>
          <w:sz w:val="28"/>
          <w:szCs w:val="28"/>
        </w:rPr>
      </w:pPr>
      <w:r>
        <w:rPr>
          <w:rFonts w:hint="eastAsia" w:ascii="仿宋" w:hAnsi="仿宋" w:eastAsia="仿宋"/>
          <w:sz w:val="28"/>
          <w:szCs w:val="28"/>
        </w:rPr>
        <w:t>营业执照复印件</w:t>
      </w:r>
    </w:p>
    <w:p>
      <w:pPr>
        <w:pStyle w:val="53"/>
        <w:numPr>
          <w:ilvl w:val="0"/>
          <w:numId w:val="5"/>
        </w:numPr>
        <w:spacing w:after="0" w:line="500" w:lineRule="exact"/>
        <w:ind w:firstLineChars="0"/>
        <w:rPr>
          <w:rFonts w:ascii="仿宋" w:hAnsi="仿宋" w:eastAsia="仿宋"/>
          <w:sz w:val="28"/>
          <w:szCs w:val="28"/>
        </w:rPr>
      </w:pPr>
      <w:r>
        <w:rPr>
          <w:rFonts w:hint="eastAsia" w:ascii="仿宋" w:hAnsi="仿宋" w:eastAsia="仿宋"/>
          <w:sz w:val="28"/>
          <w:szCs w:val="28"/>
        </w:rPr>
        <w:t>授权经销商或代理商证明材料复印件</w:t>
      </w:r>
    </w:p>
    <w:p>
      <w:pPr>
        <w:pStyle w:val="53"/>
        <w:numPr>
          <w:ilvl w:val="0"/>
          <w:numId w:val="5"/>
        </w:numPr>
        <w:spacing w:after="0" w:line="500" w:lineRule="exact"/>
        <w:ind w:firstLineChars="0"/>
        <w:rPr>
          <w:rFonts w:hint="eastAsia" w:ascii="仿宋" w:hAnsi="仿宋" w:eastAsia="仿宋"/>
          <w:sz w:val="28"/>
          <w:szCs w:val="28"/>
        </w:rPr>
      </w:pPr>
      <w:r>
        <w:rPr>
          <w:rFonts w:hint="eastAsia" w:ascii="仿宋" w:hAnsi="仿宋" w:eastAsia="仿宋"/>
          <w:sz w:val="28"/>
          <w:szCs w:val="28"/>
        </w:rPr>
        <w:t>质保期和售后服务承诺书（参与人自行起草）</w:t>
      </w:r>
    </w:p>
    <w:p>
      <w:pPr>
        <w:spacing w:line="380" w:lineRule="exact"/>
        <w:rPr>
          <w:rFonts w:ascii="仿宋" w:hAnsi="仿宋" w:eastAsia="仿宋"/>
          <w:sz w:val="28"/>
          <w:szCs w:val="28"/>
        </w:rPr>
      </w:pPr>
    </w:p>
    <w:p>
      <w:pPr>
        <w:spacing w:line="380" w:lineRule="exact"/>
        <w:rPr>
          <w:rFonts w:hint="eastAsia" w:ascii="仿宋" w:hAnsi="仿宋" w:eastAsia="仿宋"/>
          <w:b/>
          <w:bCs/>
          <w:sz w:val="28"/>
          <w:szCs w:val="28"/>
        </w:rPr>
      </w:pPr>
      <w:r>
        <w:rPr>
          <w:rFonts w:hint="eastAsia" w:ascii="仿宋" w:hAnsi="仿宋" w:eastAsia="仿宋"/>
          <w:b/>
          <w:bCs/>
          <w:sz w:val="28"/>
          <w:szCs w:val="28"/>
        </w:rPr>
        <w:t>以上材料复印件须加盖参与人公司公章，并与报价一览表一同密封</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380" w:lineRule="exact"/>
        <w:rPr>
          <w:rFonts w:ascii="仿宋" w:hAnsi="仿宋" w:eastAsia="仿宋"/>
          <w:sz w:val="28"/>
          <w:szCs w:val="28"/>
        </w:rPr>
      </w:pPr>
    </w:p>
    <w:sectPr>
      <w:headerReference r:id="rId13" w:type="first"/>
      <w:headerReference r:id="rId12" w:type="default"/>
      <w:footerReference r:id="rId14" w:type="default"/>
      <w:type w:val="continuous"/>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docPartObj>
        <w:docPartGallery w:val="autotext"/>
      </w:docPartObj>
    </w:sdtPr>
    <w:sdtContent>
      <w:sdt>
        <w:sdtPr>
          <w:id w:val="-1705238520"/>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val="0"/>
        <w:bCs w:val="0"/>
      </w:rPr>
    </w:pPr>
    <w:r>
      <w:rPr>
        <w:rFonts w:hint="eastAsia" w:ascii="仿宋" w:hAnsi="仿宋" w:eastAsia="仿宋" w:cs="仿宋"/>
        <w:b w:val="0"/>
        <w:bCs w:val="0"/>
        <w:sz w:val="21"/>
        <w:szCs w:val="21"/>
        <w:lang w:val="en-US" w:eastAsia="zh-CN"/>
      </w:rPr>
      <w:t>广州松田职业学院增城校区E13-E15（12间）实训室强，弱电工程项目</w:t>
    </w:r>
    <w:r>
      <w:rPr>
        <w:rFonts w:hint="eastAsia" w:ascii="仿宋" w:hAnsi="仿宋" w:eastAsia="仿宋" w:cs="仿宋"/>
        <w:sz w:val="21"/>
        <w:szCs w:val="21"/>
        <w:lang w:val="en-US" w:eastAsia="zh-CN"/>
      </w:rPr>
      <w:t>B-XJ2021-11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195070" cy="347345"/>
          <wp:effectExtent l="0" t="0" r="5080" b="14605"/>
          <wp:docPr id="1" name="图片 1"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195070" cy="347345"/>
          <wp:effectExtent l="0" t="0" r="5080" b="1460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ascii="仿宋" w:hAnsi="仿宋" w:eastAsia="仿宋" w:cs="仿宋"/>
        <w:sz w:val="21"/>
        <w:szCs w:val="21"/>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C1BF3"/>
    <w:multiLevelType w:val="singleLevel"/>
    <w:tmpl w:val="F69C1BF3"/>
    <w:lvl w:ilvl="0" w:tentative="0">
      <w:start w:val="2"/>
      <w:numFmt w:val="chineseCounting"/>
      <w:suff w:val="nothing"/>
      <w:lvlText w:val="%1、"/>
      <w:lvlJc w:val="left"/>
      <w:rPr>
        <w:rFonts w:hint="eastAsia"/>
      </w:rPr>
    </w:lvl>
  </w:abstractNum>
  <w:abstractNum w:abstractNumId="1">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5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D2FCE"/>
    <w:rsid w:val="006F3C71"/>
    <w:rsid w:val="006F5FBA"/>
    <w:rsid w:val="007B0F09"/>
    <w:rsid w:val="007B2319"/>
    <w:rsid w:val="00820F76"/>
    <w:rsid w:val="00865B30"/>
    <w:rsid w:val="00874219"/>
    <w:rsid w:val="008902DC"/>
    <w:rsid w:val="009123D7"/>
    <w:rsid w:val="00916532"/>
    <w:rsid w:val="00923C7E"/>
    <w:rsid w:val="00936704"/>
    <w:rsid w:val="009606BC"/>
    <w:rsid w:val="00967E57"/>
    <w:rsid w:val="00994E59"/>
    <w:rsid w:val="009B7DAD"/>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CA25CB"/>
    <w:rsid w:val="00D2102C"/>
    <w:rsid w:val="00D36D52"/>
    <w:rsid w:val="00D56DEA"/>
    <w:rsid w:val="00E11567"/>
    <w:rsid w:val="00E3310A"/>
    <w:rsid w:val="00E33B9E"/>
    <w:rsid w:val="00E33C1C"/>
    <w:rsid w:val="00E95973"/>
    <w:rsid w:val="00ED2437"/>
    <w:rsid w:val="00EE3803"/>
    <w:rsid w:val="00F0149B"/>
    <w:rsid w:val="00F8646A"/>
    <w:rsid w:val="00F876DE"/>
    <w:rsid w:val="00FF1750"/>
    <w:rsid w:val="00FF655F"/>
    <w:rsid w:val="19D64E76"/>
    <w:rsid w:val="28931B52"/>
    <w:rsid w:val="2B226E34"/>
    <w:rsid w:val="318B3A51"/>
    <w:rsid w:val="3EF74521"/>
    <w:rsid w:val="3F592C02"/>
    <w:rsid w:val="3FB4758E"/>
    <w:rsid w:val="50E819B9"/>
    <w:rsid w:val="578B128C"/>
    <w:rsid w:val="581F3941"/>
    <w:rsid w:val="588D401B"/>
    <w:rsid w:val="74AE3F3B"/>
    <w:rsid w:val="7C2B5CDB"/>
    <w:rsid w:val="7E0D3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semiHidden/>
    <w:unhideWhenUsed/>
    <w:qFormat/>
    <w:uiPriority w:val="9"/>
    <w:pPr>
      <w:keepNext/>
      <w:keepLines/>
      <w:spacing w:before="120" w:after="0"/>
      <w:outlineLvl w:val="6"/>
    </w:pPr>
    <w:rPr>
      <w:i/>
      <w:iCs/>
    </w:rPr>
  </w:style>
  <w:style w:type="paragraph" w:styleId="9">
    <w:name w:val="heading 8"/>
    <w:basedOn w:val="1"/>
    <w:next w:val="1"/>
    <w:link w:val="34"/>
    <w:semiHidden/>
    <w:unhideWhenUsed/>
    <w:qFormat/>
    <w:uiPriority w:val="9"/>
    <w:pPr>
      <w:keepNext/>
      <w:keepLines/>
      <w:spacing w:before="120" w:after="0"/>
      <w:outlineLvl w:val="7"/>
    </w:pPr>
    <w:rPr>
      <w:b/>
      <w:bCs/>
    </w:rPr>
  </w:style>
  <w:style w:type="paragraph" w:styleId="10">
    <w:name w:val="heading 9"/>
    <w:basedOn w:val="1"/>
    <w:next w:val="1"/>
    <w:link w:val="35"/>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7"/>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6"/>
    <w:unhideWhenUsed/>
    <w:uiPriority w:val="0"/>
    <w:rPr>
      <w:rFonts w:hAnsi="Courier New" w:cs="Courier New" w:asciiTheme="minorEastAsia"/>
    </w:rPr>
  </w:style>
  <w:style w:type="paragraph" w:styleId="16">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qFormat/>
    <w:uiPriority w:val="9"/>
    <w:rPr>
      <w:rFonts w:asciiTheme="majorHAnsi" w:hAnsiTheme="majorHAnsi" w:eastAsiaTheme="majorEastAsia" w:cstheme="majorBidi"/>
      <w:b/>
      <w:bCs/>
    </w:rPr>
  </w:style>
  <w:style w:type="character" w:customStyle="1" w:styleId="32">
    <w:name w:val="标题 6 字符"/>
    <w:basedOn w:val="24"/>
    <w:link w:val="7"/>
    <w:semiHidden/>
    <w:qFormat/>
    <w:uiPriority w:val="9"/>
    <w:rPr>
      <w:rFonts w:asciiTheme="majorHAnsi" w:hAnsiTheme="majorHAnsi" w:eastAsiaTheme="majorEastAsia" w:cstheme="majorBidi"/>
      <w:b/>
      <w:bCs/>
      <w:i/>
      <w:iCs/>
    </w:rPr>
  </w:style>
  <w:style w:type="character" w:customStyle="1" w:styleId="33">
    <w:name w:val="标题 7 字符"/>
    <w:basedOn w:val="24"/>
    <w:link w:val="8"/>
    <w:semiHidden/>
    <w:qFormat/>
    <w:uiPriority w:val="9"/>
    <w:rPr>
      <w:i/>
      <w:iCs/>
    </w:rPr>
  </w:style>
  <w:style w:type="character" w:customStyle="1" w:styleId="34">
    <w:name w:val="标题 8 字符"/>
    <w:basedOn w:val="24"/>
    <w:link w:val="9"/>
    <w:semiHidden/>
    <w:qFormat/>
    <w:uiPriority w:val="9"/>
    <w:rPr>
      <w:b/>
      <w:bCs/>
    </w:rPr>
  </w:style>
  <w:style w:type="character" w:customStyle="1" w:styleId="35">
    <w:name w:val="标题 9 字符"/>
    <w:basedOn w:val="24"/>
    <w:link w:val="10"/>
    <w:semiHidden/>
    <w:qFormat/>
    <w:uiPriority w:val="9"/>
    <w:rPr>
      <w:i/>
      <w:iCs/>
    </w:rPr>
  </w:style>
  <w:style w:type="character" w:customStyle="1" w:styleId="36">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qFormat/>
    <w:uiPriority w:val="11"/>
    <w:rPr>
      <w:rFonts w:asciiTheme="majorHAnsi" w:hAnsiTheme="majorHAnsi" w:eastAsiaTheme="majorEastAsia" w:cstheme="majorBidi"/>
      <w:sz w:val="24"/>
      <w:szCs w:val="24"/>
    </w:rPr>
  </w:style>
  <w:style w:type="paragraph"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qFormat/>
    <w:uiPriority w:val="29"/>
    <w:rPr>
      <w:rFonts w:asciiTheme="majorHAnsi" w:hAnsiTheme="majorHAnsi" w:eastAsiaTheme="majorEastAsia" w:cstheme="majorBidi"/>
      <w:i/>
      <w:iCs/>
      <w:sz w:val="24"/>
      <w:szCs w:val="24"/>
    </w:rPr>
  </w:style>
  <w:style w:type="paragraph"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qFormat/>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qFormat/>
    <w:uiPriority w:val="1"/>
  </w:style>
  <w:style w:type="paragraph" w:customStyle="1" w:styleId="50">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qFormat/>
    <w:uiPriority w:val="99"/>
    <w:rPr>
      <w:sz w:val="18"/>
      <w:szCs w:val="18"/>
    </w:rPr>
  </w:style>
  <w:style w:type="character" w:customStyle="1" w:styleId="52">
    <w:name w:val="页脚 字符"/>
    <w:basedOn w:val="24"/>
    <w:link w:val="16"/>
    <w:qFormat/>
    <w:uiPriority w:val="99"/>
    <w:rPr>
      <w:sz w:val="18"/>
      <w:szCs w:val="18"/>
    </w:rPr>
  </w:style>
  <w:style w:type="paragraph" w:styleId="53">
    <w:name w:val="List Paragraph"/>
    <w:basedOn w:val="1"/>
    <w:qFormat/>
    <w:uiPriority w:val="34"/>
    <w:pPr>
      <w:ind w:firstLine="420" w:firstLineChars="200"/>
    </w:pPr>
  </w:style>
  <w:style w:type="character" w:customStyle="1" w:styleId="54">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5">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qFormat/>
    <w:uiPriority w:val="99"/>
    <w:rPr>
      <w:rFonts w:hAnsi="Courier New" w:cs="Courier New" w:asciiTheme="minorEastAsia"/>
    </w:rPr>
  </w:style>
  <w:style w:type="character" w:customStyle="1" w:styleId="57">
    <w:name w:val="正文文本 字符"/>
    <w:basedOn w:val="24"/>
    <w:link w:val="13"/>
    <w:semiHidden/>
    <w:qFormat/>
    <w:uiPriority w:val="99"/>
  </w:style>
  <w:style w:type="character" w:customStyle="1" w:styleId="58">
    <w:name w:val="纯文本 Char"/>
    <w:qFormat/>
    <w:uiPriority w:val="0"/>
    <w:rPr>
      <w:rFonts w:ascii="宋体" w:hAnsi="Courier New" w:eastAsia="宋体"/>
      <w:kern w:val="2"/>
      <w:sz w:val="21"/>
      <w:lang w:val="en-US" w:eastAsia="zh-CN" w:bidi="ar-SA"/>
    </w:rPr>
  </w:style>
  <w:style w:type="character" w:customStyle="1" w:styleId="59">
    <w:name w:val="font41"/>
    <w:basedOn w:val="24"/>
    <w:qFormat/>
    <w:uiPriority w:val="0"/>
    <w:rPr>
      <w:rFonts w:ascii="宋体" w:hAnsi="宋体" w:eastAsia="宋体" w:cs="宋体"/>
      <w:color w:val="000000"/>
      <w:sz w:val="20"/>
      <w:szCs w:val="20"/>
      <w:u w:val="none"/>
    </w:rPr>
  </w:style>
  <w:style w:type="character" w:customStyle="1" w:styleId="60">
    <w:name w:val="font1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2.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8</Pages>
  <Words>316</Words>
  <Characters>1805</Characters>
  <Lines>15</Lines>
  <Paragraphs>4</Paragraphs>
  <TotalTime>0</TotalTime>
  <ScaleCrop>false</ScaleCrop>
  <LinksUpToDate>false</LinksUpToDate>
  <CharactersWithSpaces>2117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微信用户</cp:lastModifiedBy>
  <dcterms:modified xsi:type="dcterms:W3CDTF">2022-01-18T03:41:11Z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EA7BF05F0EF44C7EA405D3CB73E6CE93</vt:lpwstr>
  </property>
</Properties>
</file>