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after="120" w:line="800" w:lineRule="exact"/>
        <w:jc w:val="center"/>
        <w:rPr>
          <w:rFonts w:hint="eastAsia" w:ascii="仿宋" w:hAnsi="仿宋" w:eastAsia="仿宋"/>
          <w:b/>
          <w:color w:val="auto"/>
          <w:sz w:val="48"/>
          <w:szCs w:val="48"/>
          <w:lang w:val="en-US" w:eastAsia="zh-CN"/>
        </w:rPr>
      </w:pPr>
      <w:r>
        <w:rPr>
          <w:rFonts w:hint="eastAsia" w:ascii="仿宋" w:hAnsi="仿宋" w:eastAsia="仿宋"/>
          <w:b/>
          <w:color w:val="auto"/>
          <w:sz w:val="48"/>
          <w:szCs w:val="48"/>
          <w:lang w:val="en-US" w:eastAsia="zh-CN"/>
        </w:rPr>
        <w:t>广州应用科技学院</w:t>
      </w:r>
      <w:bookmarkEnd w:id="0"/>
      <w:r>
        <w:rPr>
          <w:rFonts w:hint="eastAsia" w:ascii="仿宋" w:hAnsi="仿宋" w:eastAsia="仿宋"/>
          <w:b/>
          <w:color w:val="auto"/>
          <w:sz w:val="48"/>
          <w:szCs w:val="48"/>
          <w:lang w:val="en-US" w:eastAsia="zh-CN"/>
        </w:rPr>
        <w:t>关于增城校区</w:t>
      </w:r>
      <w:bookmarkStart w:id="325" w:name="_GoBack"/>
      <w:r>
        <w:rPr>
          <w:rFonts w:hint="eastAsia" w:ascii="仿宋" w:hAnsi="仿宋" w:eastAsia="仿宋"/>
          <w:b/>
          <w:color w:val="auto"/>
          <w:sz w:val="48"/>
          <w:szCs w:val="48"/>
          <w:lang w:val="en-US" w:eastAsia="zh-CN"/>
        </w:rPr>
        <w:t>校园生活垃圾清运及处理服务项目</w:t>
      </w:r>
    </w:p>
    <w:bookmarkEnd w:id="325"/>
    <w:p>
      <w:pPr>
        <w:spacing w:line="1000" w:lineRule="exact"/>
        <w:jc w:val="center"/>
        <w:rPr>
          <w:rFonts w:hint="eastAsia" w:ascii="仿宋" w:hAnsi="仿宋" w:eastAsia="仿宋"/>
          <w:b/>
          <w:sz w:val="44"/>
          <w:szCs w:val="44"/>
          <w:lang w:val="en-US" w:eastAsia="zh-CN"/>
        </w:rPr>
      </w:pP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hint="eastAsia" w:ascii="仿宋" w:hAnsi="仿宋" w:eastAsia="仿宋"/>
          <w:b/>
          <w:color w:val="auto"/>
          <w:sz w:val="72"/>
          <w:szCs w:val="72"/>
          <w:lang w:val="en-US" w:eastAsia="zh-CN"/>
        </w:rPr>
      </w:pPr>
      <w:r>
        <w:rPr>
          <w:rFonts w:hint="eastAsia" w:ascii="仿宋" w:hAnsi="仿宋" w:eastAsia="仿宋"/>
          <w:b/>
          <w:color w:val="auto"/>
          <w:sz w:val="72"/>
          <w:szCs w:val="72"/>
        </w:rPr>
        <w:t>开</w:t>
      </w:r>
      <w:r>
        <w:rPr>
          <w:rFonts w:hint="eastAsia" w:ascii="仿宋" w:hAnsi="仿宋" w:eastAsia="仿宋"/>
          <w:b/>
          <w:color w:val="auto"/>
          <w:sz w:val="72"/>
          <w:szCs w:val="72"/>
          <w:lang w:val="en-US" w:eastAsia="zh-CN"/>
        </w:rPr>
        <w:t xml:space="preserve"> </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1807" w:firstLineChars="5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sz w:val="32"/>
          <w:szCs w:val="32"/>
          <w:lang w:val="en-US" w:eastAsia="zh-CN"/>
        </w:rPr>
        <w:t>A-XJ2021-41</w:t>
      </w:r>
    </w:p>
    <w:p>
      <w:pPr>
        <w:tabs>
          <w:tab w:val="left" w:pos="5774"/>
        </w:tabs>
        <w:spacing w:after="120" w:line="500" w:lineRule="exact"/>
        <w:ind w:firstLine="1807" w:firstLineChars="500"/>
        <w:rPr>
          <w:rFonts w:ascii="仿宋" w:hAnsi="仿宋" w:eastAsia="仿宋"/>
          <w:b/>
          <w:sz w:val="32"/>
          <w:szCs w:val="32"/>
        </w:r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6868924"/>
      <w:bookmarkStart w:id="5" w:name="_Toc267059899"/>
      <w:bookmarkStart w:id="6" w:name="_Toc170798743"/>
      <w:bookmarkStart w:id="7" w:name="_Toc212526081"/>
      <w:bookmarkStart w:id="8" w:name="_Toc267060407"/>
      <w:bookmarkStart w:id="9" w:name="_Toc235438297"/>
      <w:bookmarkStart w:id="10" w:name="_Toc273178686"/>
      <w:bookmarkStart w:id="11" w:name="_Toc259692600"/>
      <w:bookmarkStart w:id="12" w:name="_Toc160880487"/>
      <w:bookmarkStart w:id="13" w:name="_Toc249325665"/>
      <w:bookmarkStart w:id="14" w:name="_Toc255974963"/>
      <w:bookmarkStart w:id="15" w:name="_Toc254790852"/>
      <w:bookmarkStart w:id="16" w:name="_Toc259692693"/>
      <w:bookmarkStart w:id="17" w:name="_Toc235437942"/>
      <w:bookmarkStart w:id="18" w:name="_Toc266868624"/>
      <w:bookmarkStart w:id="19" w:name="_Toc267059633"/>
      <w:bookmarkStart w:id="20" w:name="_Toc212454753"/>
      <w:bookmarkStart w:id="21" w:name="_Toc219800200"/>
      <w:bookmarkStart w:id="22" w:name="_Toc258401210"/>
      <w:bookmarkStart w:id="23" w:name="_Toc216241307"/>
      <w:bookmarkStart w:id="24" w:name="_Toc266870861"/>
      <w:bookmarkStart w:id="25" w:name="_Toc267059010"/>
      <w:bookmarkStart w:id="26" w:name="_Toc251586187"/>
      <w:bookmarkStart w:id="27" w:name="_Toc259520819"/>
      <w:bookmarkStart w:id="28" w:name="_Toc212530253"/>
      <w:bookmarkStart w:id="29" w:name="_Toc267059519"/>
      <w:bookmarkStart w:id="30" w:name="_Toc223146565"/>
      <w:bookmarkStart w:id="31" w:name="_Toc235438227"/>
      <w:bookmarkStart w:id="32" w:name="_Toc236021402"/>
      <w:bookmarkStart w:id="33" w:name="_Toc266870386"/>
      <w:bookmarkStart w:id="34" w:name="_Toc251613780"/>
      <w:bookmarkStart w:id="35" w:name="_Toc169332794"/>
      <w:bookmarkStart w:id="36" w:name="_Toc227058483"/>
      <w:bookmarkStart w:id="37" w:name="_Toc169332904"/>
      <w:bookmarkStart w:id="38" w:name="_Toc225669277"/>
      <w:bookmarkStart w:id="39" w:name="_Toc212456146"/>
      <w:bookmarkStart w:id="40" w:name="_Toc211937196"/>
      <w:bookmarkStart w:id="41" w:name="_Toc267059161"/>
      <w:bookmarkStart w:id="42" w:name="_Toc177985424"/>
      <w:bookmarkStart w:id="43" w:name="_Toc207014580"/>
      <w:bookmarkStart w:id="44" w:name="_Toc267059786"/>
      <w:bookmarkStart w:id="45" w:name="_Toc217891359"/>
      <w:bookmarkStart w:id="46" w:name="_Toc267060022"/>
      <w:bookmarkStart w:id="47" w:name="_Toc267060162"/>
      <w:bookmarkStart w:id="48" w:name="_Toc253066567"/>
      <w:r>
        <w:rPr>
          <w:rFonts w:hint="eastAsia" w:ascii="仿宋" w:hAnsi="仿宋" w:eastAsia="仿宋"/>
          <w:b/>
          <w:sz w:val="32"/>
          <w:szCs w:val="32"/>
        </w:rPr>
        <w:t>校园生活垃圾清运及处理服务项目</w:t>
      </w:r>
    </w:p>
    <w:p>
      <w:pPr>
        <w:spacing w:line="500" w:lineRule="exact"/>
        <w:ind w:left="3959" w:leftChars="978" w:hanging="1807" w:hangingChars="500"/>
        <w:rPr>
          <w:rFonts w:hint="default" w:ascii="仿宋" w:hAnsi="仿宋" w:eastAsia="仿宋"/>
          <w:b/>
          <w:color w:val="auto"/>
          <w:sz w:val="36"/>
          <w:szCs w:val="36"/>
          <w:lang w:val="en-US"/>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校园生活垃圾清运及处理服务项目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A-XJ2021-41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校园生活垃圾清运及处理服务项目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w:t>
      </w:r>
      <w:r>
        <w:rPr>
          <w:rFonts w:hint="eastAsia" w:ascii="仿宋" w:hAnsi="仿宋" w:eastAsia="仿宋"/>
          <w:color w:val="auto"/>
          <w:sz w:val="28"/>
          <w:szCs w:val="28"/>
          <w:lang w:val="en-US" w:eastAsia="zh-CN"/>
        </w:rPr>
        <w:t>服务内容及要求</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w:t>
      </w:r>
      <w:r>
        <w:rPr>
          <w:rFonts w:hint="eastAsia" w:ascii="仿宋" w:hAnsi="仿宋" w:eastAsia="仿宋"/>
          <w:color w:val="auto"/>
          <w:sz w:val="28"/>
          <w:szCs w:val="28"/>
          <w:lang w:val="en-US" w:eastAsia="zh-CN"/>
        </w:rPr>
        <w:t>服务</w:t>
      </w:r>
      <w:r>
        <w:rPr>
          <w:rFonts w:hint="eastAsia" w:ascii="仿宋" w:hAnsi="仿宋" w:eastAsia="仿宋"/>
          <w:color w:val="auto"/>
          <w:sz w:val="28"/>
          <w:szCs w:val="28"/>
        </w:rPr>
        <w:t>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w:t>
      </w:r>
      <w:r>
        <w:rPr>
          <w:rFonts w:hint="eastAsia" w:ascii="仿宋" w:hAnsi="仿宋" w:eastAsia="仿宋"/>
          <w:color w:val="000000"/>
          <w:sz w:val="28"/>
          <w:szCs w:val="28"/>
        </w:rPr>
        <w:t>垃圾清运及处理</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09</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14</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下午16</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唐铃玉</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15920719876</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eastAsia="zh-CN"/>
        </w:rPr>
        <w:t>，</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垃圾清运及处理及时响应时间;</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每天垃圾清运及处理时间安排;</w:t>
      </w:r>
    </w:p>
    <w:p>
      <w:pPr>
        <w:widowControl w:val="0"/>
        <w:spacing w:after="0" w:line="500" w:lineRule="exact"/>
        <w:ind w:left="426"/>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r>
        <w:rPr>
          <w:rFonts w:hint="eastAsia" w:ascii="仿宋" w:hAnsi="仿宋" w:eastAsia="仿宋"/>
          <w:color w:val="auto"/>
          <w:sz w:val="28"/>
          <w:szCs w:val="28"/>
          <w:lang w:val="en-US" w:eastAsia="zh-CN"/>
        </w:rPr>
        <w:t>;</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应急情况处理预案;</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w:t>
      </w:r>
      <w:r>
        <w:rPr>
          <w:rFonts w:hint="eastAsia" w:ascii="仿宋" w:hAnsi="仿宋" w:eastAsia="仿宋"/>
          <w:color w:val="auto"/>
          <w:sz w:val="28"/>
          <w:szCs w:val="28"/>
          <w:lang w:val="en-US" w:eastAsia="zh-CN"/>
        </w:rPr>
        <w:t>报价</w:t>
      </w:r>
      <w:r>
        <w:rPr>
          <w:rFonts w:hint="eastAsia" w:ascii="仿宋" w:hAnsi="仿宋" w:eastAsia="仿宋"/>
          <w:color w:val="auto"/>
          <w:sz w:val="28"/>
          <w:szCs w:val="28"/>
        </w:rPr>
        <w:t>符合采购</w:t>
      </w:r>
      <w:r>
        <w:rPr>
          <w:rFonts w:hint="eastAsia" w:ascii="仿宋" w:hAnsi="仿宋" w:eastAsia="仿宋"/>
          <w:color w:val="auto"/>
          <w:sz w:val="28"/>
          <w:szCs w:val="28"/>
          <w:lang w:val="en-US" w:eastAsia="zh-CN"/>
        </w:rPr>
        <w:t>人服务</w:t>
      </w:r>
      <w:r>
        <w:rPr>
          <w:rFonts w:hint="eastAsia" w:ascii="仿宋" w:hAnsi="仿宋" w:eastAsia="仿宋"/>
          <w:color w:val="auto"/>
          <w:sz w:val="28"/>
          <w:szCs w:val="28"/>
        </w:rPr>
        <w:t>需求,经过磋商所报价格为合理价格的参与人为成交参与人，最低报价不作为成交的保证。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default" w:ascii="仿宋" w:hAnsi="仿宋" w:eastAsia="仿宋"/>
          <w:b/>
          <w:color w:val="auto"/>
          <w:sz w:val="44"/>
          <w:szCs w:val="44"/>
          <w:lang w:val="en-US"/>
        </w:rPr>
      </w:pPr>
      <w:r>
        <w:rPr>
          <w:rFonts w:hint="eastAsia" w:ascii="仿宋" w:hAnsi="仿宋" w:eastAsia="仿宋"/>
          <w:b/>
          <w:color w:val="auto"/>
          <w:sz w:val="44"/>
          <w:szCs w:val="44"/>
        </w:rPr>
        <w:t>公开询价</w:t>
      </w:r>
      <w:bookmarkEnd w:id="49"/>
      <w:r>
        <w:rPr>
          <w:rFonts w:hint="eastAsia" w:ascii="仿宋" w:hAnsi="仿宋" w:eastAsia="仿宋"/>
          <w:b/>
          <w:color w:val="auto"/>
          <w:sz w:val="44"/>
          <w:szCs w:val="44"/>
          <w:lang w:val="en-US" w:eastAsia="zh-CN"/>
        </w:rPr>
        <w:t>服务要求及内容</w:t>
      </w:r>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638" w:type="dxa"/>
        <w:tblInd w:w="-5" w:type="dxa"/>
        <w:tblLayout w:type="fixed"/>
        <w:tblCellMar>
          <w:top w:w="0" w:type="dxa"/>
          <w:left w:w="108" w:type="dxa"/>
          <w:bottom w:w="0" w:type="dxa"/>
          <w:right w:w="108" w:type="dxa"/>
        </w:tblCellMar>
      </w:tblPr>
      <w:tblGrid>
        <w:gridCol w:w="672"/>
        <w:gridCol w:w="1409"/>
        <w:gridCol w:w="4397"/>
        <w:gridCol w:w="718"/>
        <w:gridCol w:w="662"/>
        <w:gridCol w:w="647"/>
        <w:gridCol w:w="1133"/>
      </w:tblGrid>
      <w:tr>
        <w:tblPrEx>
          <w:tblCellMar>
            <w:top w:w="0" w:type="dxa"/>
            <w:left w:w="108" w:type="dxa"/>
            <w:bottom w:w="0" w:type="dxa"/>
            <w:right w:w="108" w:type="dxa"/>
          </w:tblCellMar>
        </w:tblPrEx>
        <w:trPr>
          <w:trHeight w:val="492" w:hRule="atLeast"/>
        </w:trPr>
        <w:tc>
          <w:tcPr>
            <w:tcW w:w="672"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409"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服务名称</w:t>
            </w:r>
          </w:p>
        </w:tc>
        <w:tc>
          <w:tcPr>
            <w:tcW w:w="4397"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服务要求</w:t>
            </w:r>
          </w:p>
        </w:tc>
        <w:tc>
          <w:tcPr>
            <w:tcW w:w="718"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单位</w:t>
            </w:r>
          </w:p>
        </w:tc>
        <w:tc>
          <w:tcPr>
            <w:tcW w:w="662"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数量</w:t>
            </w:r>
          </w:p>
        </w:tc>
        <w:tc>
          <w:tcPr>
            <w:tcW w:w="647"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单价</w:t>
            </w:r>
          </w:p>
        </w:tc>
        <w:tc>
          <w:tcPr>
            <w:tcW w:w="1133" w:type="dxa"/>
            <w:tcBorders>
              <w:top w:val="single" w:color="auto" w:sz="4" w:space="0"/>
              <w:left w:val="nil"/>
              <w:bottom w:val="single" w:color="auto" w:sz="4" w:space="0"/>
              <w:right w:val="single" w:color="auto" w:sz="4" w:space="0"/>
            </w:tcBorders>
            <w:vAlign w:val="center"/>
          </w:tcPr>
          <w:p>
            <w:pPr>
              <w:snapToGrid w:val="0"/>
              <w:spacing w:after="0" w:line="240" w:lineRule="auto"/>
              <w:jc w:val="center"/>
              <w:rPr>
                <w:rFonts w:ascii="仿宋" w:hAnsi="仿宋" w:eastAsia="仿宋" w:cs="仿宋"/>
                <w:b/>
                <w:bCs/>
                <w:sz w:val="21"/>
                <w:szCs w:val="21"/>
              </w:rPr>
            </w:pPr>
            <w:r>
              <w:rPr>
                <w:rFonts w:hint="eastAsia" w:ascii="仿宋" w:hAnsi="仿宋" w:eastAsia="仿宋" w:cs="仿宋"/>
                <w:b/>
                <w:bCs/>
                <w:sz w:val="21"/>
                <w:szCs w:val="21"/>
              </w:rPr>
              <w:t>金额</w:t>
            </w:r>
          </w:p>
        </w:tc>
      </w:tr>
      <w:tr>
        <w:tblPrEx>
          <w:tblCellMar>
            <w:top w:w="0" w:type="dxa"/>
            <w:left w:w="108" w:type="dxa"/>
            <w:bottom w:w="0" w:type="dxa"/>
            <w:right w:w="108" w:type="dxa"/>
          </w:tblCellMar>
        </w:tblPrEx>
        <w:trPr>
          <w:trHeight w:val="4248" w:hRule="atLeast"/>
        </w:trPr>
        <w:tc>
          <w:tcPr>
            <w:tcW w:w="672" w:type="dxa"/>
            <w:tcBorders>
              <w:top w:val="nil"/>
              <w:left w:val="single" w:color="auto" w:sz="4" w:space="0"/>
              <w:bottom w:val="single" w:color="auto" w:sz="4" w:space="0"/>
              <w:right w:val="single" w:color="auto" w:sz="4" w:space="0"/>
            </w:tcBorders>
            <w:shd w:val="clear" w:color="000000" w:fill="FFFFFF"/>
            <w:vAlign w:val="center"/>
          </w:tcPr>
          <w:p>
            <w:pPr>
              <w:snapToGrid w:val="0"/>
              <w:spacing w:after="0" w:line="240" w:lineRule="auto"/>
              <w:jc w:val="center"/>
              <w:rPr>
                <w:rFonts w:ascii="仿宋" w:hAnsi="仿宋" w:eastAsia="仿宋" w:cs="仿宋"/>
                <w:sz w:val="21"/>
                <w:szCs w:val="21"/>
              </w:rPr>
            </w:pPr>
            <w:r>
              <w:rPr>
                <w:rFonts w:hint="eastAsia" w:ascii="仿宋" w:hAnsi="仿宋" w:eastAsia="仿宋" w:cs="仿宋"/>
                <w:sz w:val="21"/>
                <w:szCs w:val="21"/>
              </w:rPr>
              <w:t>1</w:t>
            </w:r>
          </w:p>
        </w:tc>
        <w:tc>
          <w:tcPr>
            <w:tcW w:w="1409" w:type="dxa"/>
            <w:tcBorders>
              <w:top w:val="nil"/>
              <w:left w:val="nil"/>
              <w:bottom w:val="single" w:color="auto" w:sz="4" w:space="0"/>
              <w:right w:val="single" w:color="auto" w:sz="4" w:space="0"/>
            </w:tcBorders>
            <w:shd w:val="clear" w:color="auto" w:fill="auto"/>
            <w:vAlign w:val="center"/>
          </w:tcPr>
          <w:p>
            <w:pPr>
              <w:snapToGrid w:val="0"/>
              <w:spacing w:after="0" w:line="240" w:lineRule="auto"/>
              <w:jc w:val="left"/>
              <w:textAlignment w:val="center"/>
              <w:rPr>
                <w:rFonts w:ascii="仿宋" w:hAnsi="仿宋" w:eastAsia="仿宋" w:cs="仿宋"/>
                <w:sz w:val="21"/>
                <w:szCs w:val="21"/>
              </w:rPr>
            </w:pPr>
            <w:r>
              <w:rPr>
                <w:rFonts w:hint="eastAsia" w:ascii="仿宋" w:hAnsi="仿宋" w:eastAsia="仿宋" w:cs="仿宋"/>
                <w:sz w:val="21"/>
                <w:szCs w:val="21"/>
              </w:rPr>
              <w:t>校园生活垃圾清运及处理服务</w:t>
            </w:r>
          </w:p>
        </w:tc>
        <w:tc>
          <w:tcPr>
            <w:tcW w:w="4397" w:type="dxa"/>
            <w:tcBorders>
              <w:top w:val="nil"/>
              <w:left w:val="nil"/>
              <w:bottom w:val="single" w:color="auto" w:sz="4" w:space="0"/>
              <w:right w:val="single" w:color="auto" w:sz="4" w:space="0"/>
            </w:tcBorders>
            <w:shd w:val="clear" w:color="000000" w:fill="FFFFFF"/>
            <w:vAlign w:val="center"/>
          </w:tcPr>
          <w:p>
            <w:pPr>
              <w:numPr>
                <w:ilvl w:val="0"/>
                <w:numId w:val="3"/>
              </w:numPr>
              <w:snapToGrid w:val="0"/>
              <w:spacing w:after="0" w:line="340" w:lineRule="exact"/>
              <w:textAlignment w:val="center"/>
              <w:rPr>
                <w:rFonts w:ascii="仿宋" w:hAnsi="仿宋" w:eastAsia="仿宋" w:cs="仿宋"/>
                <w:sz w:val="21"/>
                <w:szCs w:val="21"/>
              </w:rPr>
            </w:pPr>
            <w:r>
              <w:rPr>
                <w:rFonts w:hint="eastAsia" w:ascii="仿宋" w:hAnsi="仿宋" w:eastAsia="仿宋" w:cs="仿宋"/>
                <w:sz w:val="21"/>
                <w:szCs w:val="21"/>
              </w:rPr>
              <w:t>按甲方要求于每天18：00至次日7:00前将垃圾集中存放点的生活垃圾清运完毕。</w:t>
            </w:r>
          </w:p>
          <w:p>
            <w:pPr>
              <w:numPr>
                <w:ilvl w:val="0"/>
                <w:numId w:val="3"/>
              </w:numPr>
              <w:snapToGrid w:val="0"/>
              <w:spacing w:after="0" w:line="340" w:lineRule="exact"/>
              <w:textAlignment w:val="center"/>
              <w:rPr>
                <w:rFonts w:ascii="仿宋" w:hAnsi="仿宋" w:eastAsia="仿宋" w:cs="仿宋"/>
                <w:sz w:val="21"/>
                <w:szCs w:val="21"/>
              </w:rPr>
            </w:pPr>
            <w:r>
              <w:rPr>
                <w:rFonts w:hint="eastAsia" w:ascii="仿宋" w:hAnsi="仿宋" w:eastAsia="仿宋" w:cs="仿宋"/>
                <w:sz w:val="21"/>
                <w:szCs w:val="21"/>
              </w:rPr>
              <w:t>要求每周不少于六次，周一至周五每天至少一次，周六、日两天一次，节日或假期根据实际情况安排。</w:t>
            </w:r>
          </w:p>
          <w:p>
            <w:pPr>
              <w:numPr>
                <w:ilvl w:val="0"/>
                <w:numId w:val="3"/>
              </w:numPr>
              <w:snapToGrid w:val="0"/>
              <w:spacing w:after="0" w:line="340" w:lineRule="exact"/>
              <w:textAlignment w:val="center"/>
              <w:rPr>
                <w:rFonts w:ascii="仿宋" w:hAnsi="仿宋" w:eastAsia="仿宋" w:cs="仿宋"/>
                <w:sz w:val="21"/>
                <w:szCs w:val="21"/>
              </w:rPr>
            </w:pPr>
            <w:r>
              <w:rPr>
                <w:rFonts w:hint="eastAsia" w:ascii="仿宋" w:hAnsi="仿宋" w:eastAsia="仿宋" w:cs="仿宋"/>
                <w:sz w:val="21"/>
                <w:szCs w:val="21"/>
              </w:rPr>
              <w:t>必要时（新生报到、学生离校或大项活动）增加清运次数；仍清运不过来时，需及时安排其它垃圾压缩车辆将垃圾清运完毕。</w:t>
            </w:r>
          </w:p>
          <w:p>
            <w:pPr>
              <w:numPr>
                <w:ilvl w:val="0"/>
                <w:numId w:val="3"/>
              </w:numPr>
              <w:snapToGrid w:val="0"/>
              <w:spacing w:after="0" w:line="340" w:lineRule="exact"/>
              <w:textAlignment w:val="center"/>
              <w:rPr>
                <w:rFonts w:ascii="仿宋" w:hAnsi="仿宋" w:eastAsia="仿宋" w:cs="仿宋"/>
                <w:sz w:val="21"/>
                <w:szCs w:val="21"/>
              </w:rPr>
            </w:pPr>
            <w:r>
              <w:rPr>
                <w:rFonts w:hint="eastAsia" w:ascii="仿宋" w:hAnsi="仿宋" w:eastAsia="仿宋" w:cs="仿宋"/>
                <w:sz w:val="21"/>
                <w:szCs w:val="21"/>
              </w:rPr>
              <w:t>做好垃圾存放点及周边环境的清洁工作。</w:t>
            </w:r>
          </w:p>
          <w:p>
            <w:pPr>
              <w:snapToGrid w:val="0"/>
              <w:spacing w:after="0" w:line="340" w:lineRule="exact"/>
              <w:textAlignment w:val="center"/>
              <w:rPr>
                <w:rFonts w:ascii="仿宋" w:hAnsi="仿宋" w:eastAsia="仿宋" w:cs="仿宋"/>
                <w:sz w:val="21"/>
                <w:szCs w:val="21"/>
              </w:rPr>
            </w:pPr>
            <w:r>
              <w:rPr>
                <w:rFonts w:hint="eastAsia" w:ascii="仿宋" w:hAnsi="仿宋" w:eastAsia="仿宋" w:cs="仿宋"/>
                <w:sz w:val="21"/>
                <w:szCs w:val="21"/>
              </w:rPr>
              <w:t>5.服务商必须使用车况及性能正常的与甲方</w:t>
            </w:r>
            <w:r>
              <w:rPr>
                <w:rFonts w:hint="eastAsia" w:ascii="仿宋" w:hAnsi="仿宋" w:eastAsia="仿宋"/>
                <w:sz w:val="21"/>
                <w:szCs w:val="21"/>
              </w:rPr>
              <w:t>连体垃圾压缩箱</w:t>
            </w:r>
            <w:r>
              <w:rPr>
                <w:rFonts w:hint="eastAsia" w:ascii="仿宋" w:hAnsi="仿宋" w:eastAsia="仿宋"/>
                <w:sz w:val="21"/>
                <w:szCs w:val="21"/>
                <w:lang w:val="en-US" w:eastAsia="zh-CN"/>
              </w:rPr>
              <w:t>(</w:t>
            </w:r>
            <w:r>
              <w:rPr>
                <w:rFonts w:hint="eastAsia" w:ascii="仿宋" w:hAnsi="仿宋" w:eastAsia="仿宋"/>
                <w:b/>
                <w:bCs/>
                <w:sz w:val="21"/>
                <w:szCs w:val="21"/>
                <w:lang w:val="en-US" w:eastAsia="zh-CN"/>
              </w:rPr>
              <w:t>型号：深圳东风汽车SE20LY,20立方</w:t>
            </w:r>
            <w:r>
              <w:rPr>
                <w:rFonts w:hint="eastAsia" w:ascii="仿宋" w:hAnsi="仿宋" w:eastAsia="仿宋"/>
                <w:sz w:val="21"/>
                <w:szCs w:val="21"/>
                <w:lang w:val="en-US" w:eastAsia="zh-CN"/>
              </w:rPr>
              <w:t>）</w:t>
            </w:r>
            <w:r>
              <w:rPr>
                <w:rFonts w:hint="eastAsia" w:ascii="仿宋" w:hAnsi="仿宋" w:eastAsia="仿宋"/>
                <w:b/>
                <w:bCs/>
                <w:sz w:val="21"/>
                <w:szCs w:val="21"/>
              </w:rPr>
              <w:t>相匹配的</w:t>
            </w:r>
            <w:r>
              <w:rPr>
                <w:rFonts w:hint="eastAsia" w:ascii="仿宋" w:hAnsi="仿宋" w:eastAsia="仿宋" w:cs="仿宋"/>
                <w:b/>
                <w:bCs/>
                <w:sz w:val="21"/>
                <w:szCs w:val="21"/>
              </w:rPr>
              <w:t>专用车辆</w:t>
            </w:r>
            <w:r>
              <w:rPr>
                <w:rFonts w:hint="eastAsia" w:ascii="仿宋" w:hAnsi="仿宋" w:eastAsia="仿宋" w:cs="仿宋"/>
                <w:sz w:val="21"/>
                <w:szCs w:val="21"/>
              </w:rPr>
              <w:t>。</w:t>
            </w:r>
            <w:r>
              <w:rPr>
                <w:rFonts w:hint="eastAsia" w:ascii="仿宋" w:hAnsi="仿宋" w:eastAsia="仿宋" w:cs="仿宋"/>
                <w:sz w:val="21"/>
                <w:szCs w:val="21"/>
                <w:lang w:val="en-US" w:eastAsia="zh-CN"/>
              </w:rPr>
              <w:t>必须保持连体垃圾压缩箱的清洁并做好维护。</w:t>
            </w:r>
            <w:r>
              <w:rPr>
                <w:rFonts w:hint="eastAsia" w:ascii="仿宋" w:hAnsi="仿宋" w:eastAsia="仿宋" w:cs="仿宋"/>
                <w:sz w:val="21"/>
                <w:szCs w:val="21"/>
              </w:rPr>
              <w:t>如甲方</w:t>
            </w:r>
            <w:r>
              <w:rPr>
                <w:rFonts w:hint="eastAsia" w:ascii="仿宋" w:hAnsi="仿宋" w:eastAsia="仿宋"/>
                <w:sz w:val="21"/>
                <w:szCs w:val="21"/>
              </w:rPr>
              <w:t>连体垃圾压缩箱</w:t>
            </w:r>
            <w:r>
              <w:rPr>
                <w:rFonts w:hint="eastAsia" w:ascii="仿宋" w:hAnsi="仿宋" w:eastAsia="仿宋" w:cs="仿宋"/>
                <w:sz w:val="21"/>
                <w:szCs w:val="21"/>
              </w:rPr>
              <w:t>发生故障时，需及时安排其它垃圾压缩车辆将垃圾清运完毕。</w:t>
            </w:r>
          </w:p>
        </w:tc>
        <w:tc>
          <w:tcPr>
            <w:tcW w:w="718" w:type="dxa"/>
            <w:tcBorders>
              <w:top w:val="nil"/>
              <w:left w:val="single" w:color="auto" w:sz="4" w:space="0"/>
              <w:bottom w:val="single" w:color="auto" w:sz="4" w:space="0"/>
              <w:right w:val="single" w:color="auto" w:sz="4" w:space="0"/>
            </w:tcBorders>
            <w:vAlign w:val="center"/>
          </w:tcPr>
          <w:p>
            <w:pPr>
              <w:snapToGrid w:val="0"/>
              <w:spacing w:after="0" w:line="34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662" w:type="dxa"/>
            <w:tcBorders>
              <w:top w:val="nil"/>
              <w:left w:val="single" w:color="auto" w:sz="4" w:space="0"/>
              <w:bottom w:val="single" w:color="auto" w:sz="4" w:space="0"/>
              <w:right w:val="single" w:color="auto" w:sz="4" w:space="0"/>
            </w:tcBorders>
            <w:vAlign w:val="center"/>
          </w:tcPr>
          <w:p>
            <w:pPr>
              <w:snapToGrid w:val="0"/>
              <w:spacing w:after="0" w:line="34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47" w:type="dxa"/>
            <w:tcBorders>
              <w:top w:val="nil"/>
              <w:left w:val="nil"/>
              <w:bottom w:val="single" w:color="auto" w:sz="4" w:space="0"/>
              <w:right w:val="single" w:color="auto" w:sz="4" w:space="0"/>
            </w:tcBorders>
            <w:vAlign w:val="center"/>
          </w:tcPr>
          <w:p>
            <w:pPr>
              <w:snapToGrid w:val="0"/>
              <w:spacing w:after="0" w:line="340" w:lineRule="exact"/>
              <w:jc w:val="center"/>
              <w:rPr>
                <w:rFonts w:ascii="仿宋" w:hAnsi="仿宋" w:eastAsia="仿宋" w:cs="仿宋"/>
                <w:sz w:val="21"/>
                <w:szCs w:val="21"/>
              </w:rPr>
            </w:pPr>
          </w:p>
        </w:tc>
        <w:tc>
          <w:tcPr>
            <w:tcW w:w="1133" w:type="dxa"/>
            <w:tcBorders>
              <w:top w:val="nil"/>
              <w:left w:val="nil"/>
              <w:bottom w:val="single" w:color="auto" w:sz="4" w:space="0"/>
              <w:right w:val="single" w:color="auto" w:sz="4" w:space="0"/>
            </w:tcBorders>
            <w:vAlign w:val="center"/>
          </w:tcPr>
          <w:p>
            <w:pPr>
              <w:snapToGrid w:val="0"/>
              <w:spacing w:after="0" w:line="340" w:lineRule="exact"/>
              <w:jc w:val="center"/>
              <w:rPr>
                <w:rFonts w:ascii="仿宋" w:hAnsi="仿宋" w:eastAsia="仿宋" w:cs="仿宋"/>
                <w:sz w:val="21"/>
                <w:szCs w:val="21"/>
              </w:rPr>
            </w:pPr>
          </w:p>
        </w:tc>
      </w:tr>
      <w:tr>
        <w:tblPrEx>
          <w:tblCellMar>
            <w:top w:w="0" w:type="dxa"/>
            <w:left w:w="108" w:type="dxa"/>
            <w:bottom w:w="0" w:type="dxa"/>
            <w:right w:w="108" w:type="dxa"/>
          </w:tblCellMar>
        </w:tblPrEx>
        <w:trPr>
          <w:trHeight w:val="527" w:hRule="atLeast"/>
        </w:trPr>
        <w:tc>
          <w:tcPr>
            <w:tcW w:w="64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after="0" w:line="240" w:lineRule="auto"/>
              <w:jc w:val="center"/>
              <w:rPr>
                <w:rFonts w:ascii="仿宋" w:hAnsi="仿宋" w:eastAsia="仿宋" w:cs="仿宋"/>
                <w:sz w:val="21"/>
                <w:szCs w:val="21"/>
              </w:rPr>
            </w:pPr>
            <w:r>
              <w:rPr>
                <w:rFonts w:hint="eastAsia" w:ascii="仿宋" w:hAnsi="仿宋" w:eastAsia="仿宋" w:cs="仿宋"/>
                <w:sz w:val="21"/>
                <w:szCs w:val="21"/>
              </w:rPr>
              <w:t>合计（含税）</w:t>
            </w:r>
          </w:p>
        </w:tc>
        <w:tc>
          <w:tcPr>
            <w:tcW w:w="718" w:type="dxa"/>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after="0" w:line="240" w:lineRule="auto"/>
              <w:jc w:val="center"/>
              <w:rPr>
                <w:rFonts w:ascii="仿宋" w:hAnsi="仿宋" w:eastAsia="仿宋" w:cs="仿宋"/>
                <w:sz w:val="21"/>
                <w:szCs w:val="21"/>
              </w:rPr>
            </w:pPr>
            <w:r>
              <w:rPr>
                <w:rFonts w:hint="eastAsia" w:ascii="仿宋" w:hAnsi="仿宋" w:eastAsia="仿宋" w:cs="仿宋"/>
                <w:sz w:val="21"/>
                <w:szCs w:val="21"/>
              </w:rPr>
              <w:t xml:space="preserve"> </w:t>
            </w:r>
          </w:p>
        </w:tc>
        <w:tc>
          <w:tcPr>
            <w:tcW w:w="662" w:type="dxa"/>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after="0" w:line="240" w:lineRule="auto"/>
              <w:jc w:val="center"/>
              <w:rPr>
                <w:rFonts w:ascii="仿宋" w:hAnsi="仿宋" w:eastAsia="仿宋" w:cs="仿宋"/>
                <w:sz w:val="21"/>
                <w:szCs w:val="21"/>
              </w:rPr>
            </w:pPr>
          </w:p>
        </w:tc>
        <w:tc>
          <w:tcPr>
            <w:tcW w:w="647" w:type="dxa"/>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after="0" w:line="240" w:lineRule="auto"/>
              <w:jc w:val="left"/>
              <w:rPr>
                <w:rFonts w:ascii="仿宋" w:hAnsi="仿宋" w:eastAsia="仿宋" w:cs="仿宋"/>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after="0" w:line="240" w:lineRule="auto"/>
              <w:jc w:val="left"/>
              <w:rPr>
                <w:rFonts w:ascii="仿宋" w:hAnsi="仿宋" w:eastAsia="仿宋" w:cs="仿宋"/>
                <w:sz w:val="21"/>
                <w:szCs w:val="21"/>
              </w:rPr>
            </w:pPr>
          </w:p>
        </w:tc>
      </w:tr>
    </w:tbl>
    <w:p>
      <w:pPr>
        <w:pStyle w:val="55"/>
        <w:numPr>
          <w:ilvl w:val="0"/>
          <w:numId w:val="4"/>
        </w:numPr>
        <w:spacing w:after="0" w:line="360" w:lineRule="auto"/>
        <w:ind w:firstLineChars="0"/>
        <w:rPr>
          <w:rFonts w:hint="eastAsia" w:ascii="仿宋" w:hAnsi="仿宋" w:eastAsia="仿宋" w:cs="仿宋"/>
          <w:bCs/>
          <w:sz w:val="24"/>
          <w:szCs w:val="24"/>
          <w:lang w:val="en-US" w:eastAsia="zh-CN" w:bidi="ar-SA"/>
        </w:rPr>
      </w:pPr>
      <w:r>
        <w:rPr>
          <w:rFonts w:hint="eastAsia" w:ascii="仿宋" w:hAnsi="仿宋" w:eastAsia="仿宋"/>
          <w:bCs/>
          <w:color w:val="000000" w:themeColor="text1"/>
          <w:sz w:val="24"/>
          <w:szCs w:val="24"/>
          <w14:textFill>
            <w14:solidFill>
              <w14:schemeClr w14:val="tx1"/>
            </w14:solidFill>
          </w14:textFill>
        </w:rPr>
        <w:t>《</w:t>
      </w:r>
      <w:r>
        <w:rPr>
          <w:rFonts w:hint="eastAsia" w:ascii="仿宋" w:hAnsi="仿宋" w:eastAsia="仿宋" w:cs="仿宋"/>
          <w:bCs/>
          <w:sz w:val="24"/>
          <w:szCs w:val="24"/>
          <w:lang w:val="en-US" w:eastAsia="zh-CN" w:bidi="ar-SA"/>
        </w:rPr>
        <w:t>公开询价服务要求及内容》中所描述的“服务名称”、“服务要求”等信息均为采购人根据自身需求提供的参考数据，除采购人特殊要求外，参与人可根据以上信息及现场踏勘等情况在满足采购人要求基础上提供优化方案及所匹配服务，采购人将优先选择性价比高且符合要求的服务商。</w:t>
      </w:r>
    </w:p>
    <w:p>
      <w:pPr>
        <w:spacing w:before="156" w:beforeLines="50" w:after="78" w:afterLines="25" w:line="240" w:lineRule="auto"/>
        <w:jc w:val="left"/>
        <w:outlineLvl w:val="1"/>
        <w:rPr>
          <w:rFonts w:hint="eastAsia" w:ascii="仿宋" w:hAnsi="仿宋" w:eastAsia="仿宋" w:cs="仿宋"/>
          <w:bCs/>
          <w:sz w:val="24"/>
          <w:szCs w:val="24"/>
          <w:lang w:val="en-US" w:eastAsia="zh-CN"/>
        </w:rPr>
        <w:sectPr>
          <w:headerReference r:id="rId7" w:type="first"/>
          <w:headerReference r:id="rId6" w:type="default"/>
          <w:pgSz w:w="11906" w:h="16838"/>
          <w:pgMar w:top="1440" w:right="1416" w:bottom="1440" w:left="1134" w:header="851" w:footer="227" w:gutter="0"/>
          <w:pgNumType w:fmt="decimal"/>
          <w:cols w:space="425" w:num="1"/>
          <w:titlePg/>
          <w:docGrid w:type="lines" w:linePitch="312" w:charSpace="0"/>
        </w:sectPr>
      </w:pPr>
      <w:bookmarkStart w:id="50" w:name="_Toc20976"/>
      <w:r>
        <w:rPr>
          <w:rFonts w:hint="eastAsia" w:ascii="仿宋" w:hAnsi="仿宋" w:eastAsia="仿宋" w:cs="仿宋"/>
          <w:bCs/>
          <w:sz w:val="24"/>
          <w:szCs w:val="24"/>
        </w:rPr>
        <w:t>（</w:t>
      </w:r>
      <w:r>
        <w:rPr>
          <w:rFonts w:hint="eastAsia" w:ascii="仿宋" w:hAnsi="仿宋" w:eastAsia="仿宋" w:cs="仿宋"/>
          <w:bCs/>
          <w:sz w:val="24"/>
          <w:szCs w:val="24"/>
          <w:lang w:val="en-US" w:eastAsia="zh-CN"/>
        </w:rPr>
        <w:t>2</w:t>
      </w:r>
      <w:r>
        <w:rPr>
          <w:rFonts w:hint="eastAsia" w:ascii="仿宋" w:hAnsi="仿宋" w:eastAsia="仿宋" w:cs="仿宋"/>
          <w:bCs/>
          <w:sz w:val="24"/>
          <w:szCs w:val="24"/>
        </w:rPr>
        <w:t>）以上产品的报价应包含税费、运输费、搬运费、售后服务等一切</w:t>
      </w:r>
      <w:bookmarkEnd w:id="50"/>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color w:val="auto"/>
          <w:sz w:val="48"/>
          <w:szCs w:val="48"/>
          <w:lang w:val="en-US" w:eastAsia="zh-CN"/>
        </w:rPr>
      </w:pPr>
    </w:p>
    <w:p>
      <w:pPr>
        <w:spacing w:line="1000" w:lineRule="exact"/>
        <w:jc w:val="center"/>
        <w:rPr>
          <w:rFonts w:hint="eastAsia" w:ascii="仿宋" w:hAnsi="仿宋" w:eastAsia="仿宋"/>
          <w:b/>
          <w:color w:val="auto"/>
          <w:sz w:val="48"/>
          <w:szCs w:val="48"/>
          <w:lang w:val="en-US" w:eastAsia="zh-CN"/>
        </w:rPr>
      </w:pPr>
    </w:p>
    <w:p>
      <w:pPr>
        <w:spacing w:line="580" w:lineRule="exact"/>
        <w:jc w:val="center"/>
        <w:rPr>
          <w:rFonts w:hint="eastAsia" w:ascii="仿宋" w:hAnsi="仿宋" w:eastAsia="仿宋"/>
          <w:b/>
          <w:color w:val="auto"/>
          <w:sz w:val="48"/>
          <w:szCs w:val="48"/>
          <w:lang w:val="en-US" w:eastAsia="zh-CN"/>
        </w:rPr>
      </w:pPr>
    </w:p>
    <w:p>
      <w:pPr>
        <w:spacing w:line="580" w:lineRule="exact"/>
        <w:jc w:val="center"/>
        <w:rPr>
          <w:rFonts w:hint="eastAsia" w:ascii="仿宋" w:hAnsi="仿宋" w:eastAsia="仿宋"/>
          <w:b/>
          <w:sz w:val="44"/>
          <w:szCs w:val="44"/>
          <w:lang w:val="en-US" w:eastAsia="zh-CN"/>
        </w:rPr>
      </w:pPr>
      <w:r>
        <w:rPr>
          <w:rFonts w:hint="eastAsia" w:ascii="仿宋" w:hAnsi="仿宋" w:eastAsia="仿宋"/>
          <w:b/>
          <w:color w:val="auto"/>
          <w:sz w:val="48"/>
          <w:szCs w:val="48"/>
          <w:lang w:val="en-US" w:eastAsia="zh-CN"/>
        </w:rPr>
        <w:t>广州应用科技学院关于增城校区校园生活垃圾清运及处理服务项目</w:t>
      </w:r>
    </w:p>
    <w:p>
      <w:pPr>
        <w:spacing w:line="580" w:lineRule="exact"/>
        <w:jc w:val="both"/>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9" w:type="first"/>
          <w:headerReference r:id="rId8"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ascii="仿宋" w:hAnsi="仿宋" w:eastAsia="仿宋"/>
          <w:b/>
          <w:bCs/>
          <w:sz w:val="28"/>
          <w:szCs w:val="28"/>
        </w:rPr>
      </w:pPr>
      <w:bookmarkStart w:id="51" w:name="_Toc191783222"/>
      <w:bookmarkStart w:id="52" w:name="_Toc191802690"/>
      <w:bookmarkStart w:id="53" w:name="_Toc258401256"/>
      <w:bookmarkStart w:id="54" w:name="_Toc230071147"/>
      <w:bookmarkStart w:id="55" w:name="_Toc180302913"/>
      <w:bookmarkStart w:id="56" w:name="_Toc177985469"/>
      <w:bookmarkStart w:id="57" w:name="_Toc232302115"/>
      <w:bookmarkStart w:id="58" w:name="_Toc255975007"/>
      <w:bookmarkStart w:id="59" w:name="_Toc192996338"/>
      <w:bookmarkStart w:id="60" w:name="_Toc227058530"/>
      <w:bookmarkStart w:id="61" w:name="_Toc223146608"/>
      <w:bookmarkStart w:id="62" w:name="_Toc170798793"/>
      <w:bookmarkStart w:id="63" w:name="_Toc251613829"/>
      <w:bookmarkStart w:id="64" w:name="_Toc213756051"/>
      <w:bookmarkStart w:id="65" w:name="_Toc213208766"/>
      <w:bookmarkStart w:id="66" w:name="_Toc266870432"/>
      <w:bookmarkStart w:id="67" w:name="_Toc251586231"/>
      <w:bookmarkStart w:id="68" w:name="_Toc249325711"/>
      <w:bookmarkStart w:id="69" w:name="_Toc203355733"/>
      <w:bookmarkStart w:id="70" w:name="_Toc254790899"/>
      <w:bookmarkStart w:id="71" w:name="_Toc266868937"/>
      <w:bookmarkStart w:id="72" w:name="_Toc169332949"/>
      <w:bookmarkStart w:id="73" w:name="_Toc259520865"/>
      <w:bookmarkStart w:id="74" w:name="_Toc181436565"/>
      <w:bookmarkStart w:id="75" w:name="_Toc259692647"/>
      <w:bookmarkStart w:id="76" w:name="_Toc192663686"/>
      <w:bookmarkStart w:id="77" w:name="_Toc235437991"/>
      <w:bookmarkStart w:id="78" w:name="_Toc213755939"/>
      <w:bookmarkStart w:id="79" w:name="_Toc266870833"/>
      <w:bookmarkStart w:id="80" w:name="_Toc267059653"/>
      <w:bookmarkStart w:id="81" w:name="_Toc217891402"/>
      <w:bookmarkStart w:id="82" w:name="_Toc266870907"/>
      <w:bookmarkStart w:id="83" w:name="_Toc267059539"/>
      <w:bookmarkStart w:id="84" w:name="_Toc267059919"/>
      <w:bookmarkStart w:id="85" w:name="_Toc182372782"/>
      <w:bookmarkStart w:id="86" w:name="_Toc192663835"/>
      <w:bookmarkStart w:id="87" w:name="_Toc267059181"/>
      <w:bookmarkStart w:id="88" w:name="_Toc273178698"/>
      <w:bookmarkStart w:id="89" w:name="_Toc267060321"/>
      <w:bookmarkStart w:id="90" w:name="_Toc191789329"/>
      <w:bookmarkStart w:id="91" w:name="_Toc213755858"/>
      <w:bookmarkStart w:id="92" w:name="_Toc267059030"/>
      <w:bookmarkStart w:id="93" w:name="_Toc191803626"/>
      <w:bookmarkStart w:id="94" w:name="_Toc211917116"/>
      <w:bookmarkStart w:id="95" w:name="_Toc182805217"/>
      <w:bookmarkStart w:id="96" w:name="_Toc267060453"/>
      <w:bookmarkStart w:id="97" w:name="_Toc235438344"/>
      <w:bookmarkStart w:id="98" w:name="_Toc253066614"/>
      <w:bookmarkStart w:id="99" w:name="_Toc267060208"/>
      <w:bookmarkStart w:id="100" w:name="_Toc236021449"/>
      <w:bookmarkStart w:id="101" w:name="_Toc266868670"/>
      <w:bookmarkStart w:id="102" w:name="_Toc267060068"/>
      <w:bookmarkStart w:id="103" w:name="_Toc259692740"/>
      <w:bookmarkStart w:id="104" w:name="_Toc225669322"/>
      <w:bookmarkStart w:id="105" w:name="_Toc181436461"/>
      <w:bookmarkStart w:id="106" w:name="_Toc267059806"/>
      <w:bookmarkStart w:id="107" w:name="_Toc169332838"/>
      <w:bookmarkStart w:id="108" w:name="_Toc160880529"/>
      <w:bookmarkStart w:id="109" w:name="_Toc192996446"/>
      <w:bookmarkStart w:id="110" w:name="_Toc160880160"/>
      <w:bookmarkStart w:id="111" w:name="_Toc219800243"/>
      <w:bookmarkStart w:id="112" w:name="_Toc213755995"/>
      <w:bookmarkStart w:id="113" w:name="_Toc193160448"/>
      <w:bookmarkStart w:id="114" w:name="_Toc235438274"/>
      <w:bookmarkStart w:id="115" w:name="_Toc192664153"/>
      <w:bookmarkStart w:id="116" w:name="_Toc193165734"/>
      <w:r>
        <w:rPr>
          <w:rFonts w:hint="eastAsia" w:ascii="仿宋" w:hAnsi="仿宋" w:eastAsia="仿宋"/>
          <w:b/>
          <w:bCs/>
          <w:sz w:val="28"/>
          <w:szCs w:val="28"/>
        </w:rPr>
        <w:t>1、</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588" w:type="dxa"/>
        <w:tblInd w:w="-5" w:type="dxa"/>
        <w:tblLayout w:type="fixed"/>
        <w:tblCellMar>
          <w:top w:w="0" w:type="dxa"/>
          <w:left w:w="108" w:type="dxa"/>
          <w:bottom w:w="0" w:type="dxa"/>
          <w:right w:w="108" w:type="dxa"/>
        </w:tblCellMar>
      </w:tblPr>
      <w:tblGrid>
        <w:gridCol w:w="693"/>
        <w:gridCol w:w="1438"/>
        <w:gridCol w:w="2160"/>
        <w:gridCol w:w="760"/>
        <w:gridCol w:w="812"/>
        <w:gridCol w:w="1050"/>
        <w:gridCol w:w="1425"/>
        <w:gridCol w:w="1250"/>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lang w:val="en-US" w:eastAsia="zh-CN"/>
              </w:rPr>
              <w:t>服务</w:t>
            </w:r>
            <w:r>
              <w:rPr>
                <w:rFonts w:hint="eastAsia" w:ascii="仿宋" w:hAnsi="仿宋" w:eastAsia="仿宋" w:cs="Tahoma"/>
                <w:color w:val="000000"/>
                <w:sz w:val="20"/>
                <w:szCs w:val="20"/>
              </w:rPr>
              <w:t>名称</w:t>
            </w:r>
          </w:p>
        </w:tc>
        <w:tc>
          <w:tcPr>
            <w:tcW w:w="2160" w:type="dxa"/>
            <w:tcBorders>
              <w:top w:val="single" w:color="auto" w:sz="4" w:space="0"/>
              <w:left w:val="nil"/>
              <w:bottom w:val="single" w:color="auto" w:sz="4" w:space="0"/>
              <w:right w:val="single" w:color="auto" w:sz="4" w:space="0"/>
            </w:tcBorders>
            <w:vAlign w:val="center"/>
          </w:tcPr>
          <w:p>
            <w:pPr>
              <w:ind w:firstLine="200" w:firstLineChars="100"/>
              <w:jc w:val="cente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服务要求</w:t>
            </w:r>
          </w:p>
        </w:tc>
        <w:tc>
          <w:tcPr>
            <w:tcW w:w="76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812"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05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42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125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16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76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1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42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250"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注：1、以上报价包含税费、运输费、搬运费、售后服务等一切费用，卖方需开具足额的增值税普通发票。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firstLine="1120" w:firstLineChars="400"/>
        <w:textAlignment w:val="auto"/>
        <w:rPr>
          <w:rFonts w:hint="eastAsia" w:ascii="仿宋" w:hAnsi="仿宋" w:eastAsia="仿宋"/>
          <w:sz w:val="28"/>
          <w:szCs w:val="28"/>
        </w:rPr>
        <w:sectPr>
          <w:headerReference r:id="rId10"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2、报价须提供详细技术参数，否则将视为没有实质性响应公开询价文件。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7" w:name="_Toc259692749"/>
      <w:bookmarkStart w:id="118" w:name="_Toc235438352"/>
      <w:bookmarkStart w:id="119" w:name="_Toc232302122"/>
      <w:bookmarkStart w:id="120" w:name="_Toc267059924"/>
      <w:bookmarkStart w:id="121" w:name="_Toc223146614"/>
      <w:bookmarkStart w:id="122" w:name="_Toc203355738"/>
      <w:bookmarkStart w:id="123" w:name="_Toc266868679"/>
      <w:bookmarkStart w:id="124" w:name="_Toc170798798"/>
      <w:bookmarkStart w:id="125" w:name="_Toc267059544"/>
      <w:bookmarkStart w:id="126" w:name="_Toc191783227"/>
      <w:bookmarkStart w:id="127" w:name="_Toc259692656"/>
      <w:bookmarkStart w:id="128" w:name="_Toc266870441"/>
      <w:bookmarkStart w:id="129" w:name="_Toc213208771"/>
      <w:bookmarkStart w:id="130" w:name="_Toc177985474"/>
      <w:bookmarkStart w:id="131" w:name="_Toc267060216"/>
      <w:bookmarkStart w:id="132" w:name="_Toc182805222"/>
      <w:bookmarkStart w:id="133" w:name="_Toc251586241"/>
      <w:bookmarkStart w:id="134" w:name="_Toc267059035"/>
      <w:bookmarkStart w:id="135" w:name="_Toc267060461"/>
      <w:bookmarkStart w:id="136" w:name="_Toc259520874"/>
      <w:bookmarkStart w:id="137" w:name="_Toc191802695"/>
      <w:bookmarkStart w:id="138" w:name="_Toc236021457"/>
      <w:bookmarkStart w:id="139" w:name="_Toc211917121"/>
      <w:bookmarkStart w:id="140" w:name="_Toc192663840"/>
      <w:bookmarkStart w:id="141" w:name="_Toc266870916"/>
      <w:bookmarkStart w:id="142" w:name="_Toc192663691"/>
      <w:bookmarkStart w:id="143" w:name="_Toc255975016"/>
      <w:bookmarkStart w:id="144" w:name="_Toc160880165"/>
      <w:bookmarkStart w:id="145" w:name="_Toc258401265"/>
      <w:bookmarkStart w:id="146" w:name="_Toc235437998"/>
      <w:bookmarkStart w:id="147" w:name="_Toc191803631"/>
      <w:bookmarkStart w:id="148" w:name="_Toc267059658"/>
      <w:bookmarkStart w:id="149" w:name="_Toc192664158"/>
      <w:bookmarkStart w:id="150" w:name="_Toc169332954"/>
      <w:bookmarkStart w:id="151" w:name="_Toc217891408"/>
      <w:bookmarkStart w:id="152" w:name="_Toc160880534"/>
      <w:bookmarkStart w:id="153" w:name="_Toc251613839"/>
      <w:bookmarkStart w:id="154" w:name="_Toc219800249"/>
      <w:bookmarkStart w:id="155" w:name="_Toc182372787"/>
      <w:bookmarkStart w:id="156" w:name="_Toc253066624"/>
      <w:bookmarkStart w:id="157" w:name="_Toc213756001"/>
      <w:bookmarkStart w:id="158" w:name="_Toc180302918"/>
      <w:bookmarkStart w:id="159" w:name="_Toc193165739"/>
      <w:bookmarkStart w:id="160" w:name="_Toc192996451"/>
      <w:bookmarkStart w:id="161" w:name="_Toc267060076"/>
      <w:bookmarkStart w:id="162" w:name="_Toc169332843"/>
      <w:bookmarkStart w:id="163" w:name="_Toc266870839"/>
      <w:bookmarkStart w:id="164" w:name="_Toc266868943"/>
      <w:bookmarkStart w:id="165" w:name="_Toc193160453"/>
      <w:bookmarkStart w:id="166" w:name="_Toc191789334"/>
      <w:bookmarkStart w:id="167" w:name="_Toc267060326"/>
      <w:bookmarkStart w:id="168" w:name="_Toc227058536"/>
      <w:bookmarkStart w:id="169" w:name="_Toc235438281"/>
      <w:bookmarkStart w:id="170" w:name="_Toc213756057"/>
      <w:bookmarkStart w:id="171" w:name="_Toc192996343"/>
      <w:bookmarkStart w:id="172" w:name="_Toc213755864"/>
      <w:bookmarkStart w:id="173" w:name="_Toc181436466"/>
      <w:bookmarkStart w:id="174" w:name="_Toc225669328"/>
      <w:bookmarkStart w:id="175" w:name="_Toc267059186"/>
      <w:bookmarkStart w:id="176" w:name="_Toc267059811"/>
      <w:bookmarkStart w:id="177" w:name="_Toc249325720"/>
      <w:bookmarkStart w:id="178" w:name="_Toc181436570"/>
      <w:bookmarkStart w:id="179" w:name="_Toc230071153"/>
      <w:bookmarkStart w:id="180" w:name="_Toc273178703"/>
      <w:bookmarkStart w:id="181" w:name="_Toc254790909"/>
      <w:bookmarkStart w:id="182" w:name="_Toc21375594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3" w:name="_Toc259520875"/>
      <w:bookmarkStart w:id="184" w:name="_Toc267060462"/>
      <w:bookmarkStart w:id="185" w:name="_Toc230071154"/>
      <w:bookmarkStart w:id="186" w:name="_Toc251613840"/>
      <w:bookmarkStart w:id="187" w:name="_Toc266870917"/>
      <w:bookmarkStart w:id="188" w:name="_Toc225669329"/>
      <w:bookmarkStart w:id="189" w:name="_Toc253066625"/>
      <w:bookmarkStart w:id="190" w:name="_Toc235438282"/>
      <w:bookmarkStart w:id="191" w:name="_Toc266870442"/>
      <w:bookmarkStart w:id="192" w:name="_Toc267060217"/>
      <w:bookmarkStart w:id="193" w:name="_Toc235438353"/>
      <w:bookmarkStart w:id="194" w:name="_Toc267060077"/>
      <w:bookmarkStart w:id="195" w:name="_Toc223146615"/>
      <w:bookmarkStart w:id="196" w:name="_Toc235437999"/>
      <w:bookmarkStart w:id="197" w:name="_Toc259692750"/>
      <w:bookmarkStart w:id="198" w:name="_Toc254790910"/>
      <w:bookmarkStart w:id="199" w:name="_Toc249325721"/>
      <w:bookmarkStart w:id="200" w:name="_Toc217891409"/>
      <w:bookmarkStart w:id="201" w:name="_Toc258401266"/>
      <w:bookmarkStart w:id="202" w:name="_Toc259692657"/>
      <w:bookmarkStart w:id="203" w:name="_Toc255975017"/>
      <w:bookmarkStart w:id="204" w:name="_Toc219800250"/>
      <w:bookmarkStart w:id="205" w:name="_Toc251586242"/>
      <w:bookmarkStart w:id="206" w:name="_Toc266868680"/>
      <w:bookmarkStart w:id="207" w:name="_Toc213756058"/>
      <w:bookmarkStart w:id="208" w:name="_Toc236021458"/>
      <w:bookmarkStart w:id="209" w:name="_Toc227058537"/>
      <w:bookmarkStart w:id="210" w:name="_Toc232302123"/>
      <w:r>
        <w:rPr>
          <w:rFonts w:ascii="仿宋" w:hAnsi="仿宋" w:eastAsia="仿宋"/>
          <w:b/>
          <w:sz w:val="28"/>
          <w:szCs w:val="28"/>
        </w:rPr>
        <w:t>3</w:t>
      </w:r>
      <w:r>
        <w:rPr>
          <w:rFonts w:hint="eastAsia" w:ascii="仿宋" w:hAnsi="仿宋" w:eastAsia="仿宋"/>
          <w:b/>
          <w:sz w:val="28"/>
          <w:szCs w:val="28"/>
        </w:rPr>
        <w:t>-1关于资格的声明函</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1"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1"/>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2" w:name="_Toc249325722"/>
      <w:bookmarkStart w:id="213" w:name="_Toc266870443"/>
      <w:bookmarkStart w:id="214" w:name="_Toc236021459"/>
      <w:bookmarkStart w:id="215" w:name="_Toc259520876"/>
      <w:bookmarkStart w:id="216" w:name="_Toc219800251"/>
      <w:bookmarkStart w:id="217" w:name="_Toc227058538"/>
      <w:bookmarkStart w:id="218" w:name="_Toc251613841"/>
      <w:bookmarkStart w:id="219" w:name="_Toc254790911"/>
      <w:bookmarkStart w:id="220" w:name="_Toc253066626"/>
      <w:bookmarkStart w:id="221" w:name="_Toc255975018"/>
      <w:bookmarkStart w:id="222" w:name="_Toc266868681"/>
      <w:bookmarkStart w:id="223" w:name="_Toc225669330"/>
      <w:bookmarkStart w:id="224" w:name="_Toc230071155"/>
      <w:bookmarkStart w:id="225" w:name="_Toc251586243"/>
      <w:bookmarkStart w:id="226" w:name="_Toc217891410"/>
      <w:bookmarkStart w:id="227" w:name="_Toc223146616"/>
      <w:bookmarkStart w:id="228" w:name="_Toc235438283"/>
      <w:bookmarkStart w:id="229" w:name="_Toc235438354"/>
      <w:bookmarkStart w:id="230" w:name="_Toc213756059"/>
      <w:bookmarkStart w:id="231" w:name="_Toc266870918"/>
      <w:bookmarkStart w:id="232" w:name="_Toc232302124"/>
      <w:bookmarkStart w:id="233" w:name="_Toc258401267"/>
      <w:bookmarkStart w:id="234" w:name="_Toc259692751"/>
      <w:bookmarkStart w:id="235" w:name="_Toc235438000"/>
      <w:bookmarkStart w:id="236"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7" w:name="_Toc191789337"/>
      <w:bookmarkStart w:id="238" w:name="_Toc203355741"/>
      <w:bookmarkStart w:id="239" w:name="_Toc193165742"/>
      <w:bookmarkStart w:id="240" w:name="_Toc170798801"/>
      <w:bookmarkStart w:id="241" w:name="_Toc259692661"/>
      <w:bookmarkStart w:id="242" w:name="_Toc266870921"/>
      <w:bookmarkStart w:id="243" w:name="_Toc235438286"/>
      <w:bookmarkStart w:id="244" w:name="_Toc267060465"/>
      <w:bookmarkStart w:id="245" w:name="_Toc254790916"/>
      <w:bookmarkStart w:id="246" w:name="_Toc192663843"/>
      <w:bookmarkStart w:id="247" w:name="_Toc266868684"/>
      <w:bookmarkStart w:id="248" w:name="_Toc182372790"/>
      <w:bookmarkStart w:id="249" w:name="_Toc160880537"/>
      <w:bookmarkStart w:id="250" w:name="_Toc192663694"/>
      <w:bookmarkStart w:id="251" w:name="_Toc259520879"/>
      <w:bookmarkStart w:id="252" w:name="_Toc192996346"/>
      <w:bookmarkStart w:id="253" w:name="_Toc258401272"/>
      <w:bookmarkStart w:id="254" w:name="_Toc266870447"/>
      <w:bookmarkStart w:id="255" w:name="_Toc266870922"/>
      <w:bookmarkStart w:id="256" w:name="_Toc259692754"/>
      <w:bookmarkStart w:id="257" w:name="_Toc254790914"/>
      <w:bookmarkStart w:id="258" w:name="_Toc267060081"/>
      <w:bookmarkStart w:id="259" w:name="_Toc267060220"/>
      <w:bookmarkStart w:id="260" w:name="_Toc267060080"/>
      <w:bookmarkStart w:id="261" w:name="_Toc253066629"/>
      <w:bookmarkStart w:id="262" w:name="_Toc191802698"/>
      <w:bookmarkStart w:id="263" w:name="_Toc182805225"/>
      <w:bookmarkStart w:id="264" w:name="_Toc259520881"/>
      <w:bookmarkStart w:id="265" w:name="_Toc266868686"/>
      <w:bookmarkStart w:id="266" w:name="_Toc211917124"/>
      <w:bookmarkStart w:id="267" w:name="_Toc181436573"/>
      <w:bookmarkStart w:id="268" w:name="_Toc251586246"/>
      <w:bookmarkStart w:id="269" w:name="_Toc255975023"/>
      <w:bookmarkStart w:id="270" w:name="_Toc169332957"/>
      <w:bookmarkStart w:id="271" w:name="_Toc235438003"/>
      <w:bookmarkStart w:id="272" w:name="_Toc236021462"/>
      <w:bookmarkStart w:id="273" w:name="_Toc266870446"/>
      <w:bookmarkStart w:id="274" w:name="_Toc177985477"/>
      <w:bookmarkStart w:id="275" w:name="_Toc181436469"/>
      <w:bookmarkStart w:id="276" w:name="_Toc267060466"/>
      <w:bookmarkStart w:id="277" w:name="_Toc255975021"/>
      <w:bookmarkStart w:id="278" w:name="_Toc193160456"/>
      <w:bookmarkStart w:id="279" w:name="_Toc191783230"/>
      <w:bookmarkStart w:id="280" w:name="_Toc235438357"/>
      <w:bookmarkStart w:id="281" w:name="_Toc249325725"/>
      <w:bookmarkStart w:id="282" w:name="_Toc191803634"/>
      <w:bookmarkStart w:id="283" w:name="_Toc232302127"/>
      <w:bookmarkStart w:id="284" w:name="_Toc251613844"/>
      <w:bookmarkStart w:id="285" w:name="_Toc180302921"/>
      <w:bookmarkStart w:id="286" w:name="_Toc259692663"/>
      <w:bookmarkStart w:id="287" w:name="_Toc169332846"/>
      <w:bookmarkStart w:id="288" w:name="_Toc160880168"/>
      <w:bookmarkStart w:id="289" w:name="_Toc192996454"/>
      <w:bookmarkStart w:id="290" w:name="_Toc267060221"/>
      <w:bookmarkStart w:id="291" w:name="_Toc258401270"/>
      <w:bookmarkStart w:id="292" w:name="_Toc259692756"/>
      <w:bookmarkStart w:id="293" w:name="_Toc192664161"/>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Pr>
        <w:spacing w:after="0" w:line="480" w:lineRule="exact"/>
        <w:ind w:firstLine="570"/>
        <w:jc w:val="center"/>
        <w:rPr>
          <w:rFonts w:ascii="仿宋" w:hAnsi="仿宋" w:eastAsia="仿宋"/>
          <w:b/>
          <w:bCs/>
          <w:color w:val="auto"/>
          <w:sz w:val="28"/>
          <w:szCs w:val="28"/>
        </w:rPr>
      </w:pPr>
      <w:bookmarkStart w:id="294" w:name="_Toc266870923"/>
      <w:bookmarkStart w:id="295" w:name="_Toc254790917"/>
      <w:bookmarkStart w:id="296" w:name="_Toc235438004"/>
      <w:bookmarkStart w:id="297" w:name="_Toc249325726"/>
      <w:bookmarkStart w:id="298" w:name="_Toc255975024"/>
      <w:bookmarkStart w:id="299" w:name="_Toc251586247"/>
      <w:bookmarkStart w:id="300" w:name="_Toc266868944"/>
      <w:bookmarkStart w:id="301" w:name="_Toc235438358"/>
      <w:bookmarkStart w:id="302" w:name="_Toc267059925"/>
      <w:bookmarkStart w:id="303" w:name="_Toc251613845"/>
      <w:bookmarkStart w:id="304" w:name="_Toc267059187"/>
      <w:bookmarkStart w:id="305" w:name="_Toc259692757"/>
      <w:bookmarkStart w:id="306" w:name="_Toc253066630"/>
      <w:bookmarkStart w:id="307" w:name="_Toc259520882"/>
      <w:bookmarkStart w:id="308" w:name="_Toc236021463"/>
      <w:bookmarkStart w:id="309" w:name="_Toc266868687"/>
      <w:bookmarkStart w:id="310" w:name="_Toc273178704"/>
      <w:bookmarkStart w:id="311" w:name="_Toc266870448"/>
      <w:bookmarkStart w:id="312" w:name="_Toc267059812"/>
      <w:bookmarkStart w:id="313" w:name="_Toc267060222"/>
      <w:bookmarkStart w:id="314" w:name="_Toc267060467"/>
      <w:bookmarkStart w:id="315" w:name="_Toc232302128"/>
      <w:bookmarkStart w:id="316" w:name="_Toc259692664"/>
      <w:bookmarkStart w:id="317" w:name="_Toc267059545"/>
      <w:bookmarkStart w:id="318" w:name="_Toc266870840"/>
      <w:bookmarkStart w:id="319" w:name="_Toc267060327"/>
      <w:bookmarkStart w:id="320" w:name="_Toc267059036"/>
      <w:bookmarkStart w:id="321" w:name="_Toc258401273"/>
      <w:bookmarkStart w:id="322" w:name="_Toc267059659"/>
      <w:bookmarkStart w:id="323" w:name="_Toc235438287"/>
      <w:bookmarkStart w:id="324" w:name="_Toc2670600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进校需报备，请提前一天将进校人员信息发至微信账号：15920719876（请备注公司名称+姓名+项目名称）。（以文字形式提交即可）：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唐铃玉</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15920719876</w:t>
      </w:r>
    </w:p>
    <w:p>
      <w:pPr>
        <w:spacing w:line="420" w:lineRule="exact"/>
        <w:ind w:firstLine="426"/>
        <w:rPr>
          <w:rFonts w:hint="default" w:ascii="仿宋" w:hAnsi="仿宋" w:eastAsia="仿宋"/>
          <w:sz w:val="28"/>
          <w:szCs w:val="28"/>
          <w:lang w:val="en-US" w:eastAsia="zh-CN"/>
        </w:rPr>
      </w:pPr>
    </w:p>
    <w:sectPr>
      <w:headerReference r:id="rId12" w:type="first"/>
      <w:headerReference r:id="rId11" w:type="default"/>
      <w:footerReference r:id="rId13"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关于增城校区校园生活垃圾清运及处理服务项目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项目编号：A-XJ2021-41</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关于增城校区校园生活垃圾清运及处理服务项目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项目编号：A-XJ2021-41</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02174"/>
    <w:multiLevelType w:val="multilevel"/>
    <w:tmpl w:val="3980217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DBDE20F"/>
    <w:multiLevelType w:val="singleLevel"/>
    <w:tmpl w:val="5DBDE20F"/>
    <w:lvl w:ilvl="0" w:tentative="0">
      <w:start w:val="1"/>
      <w:numFmt w:val="decimal"/>
      <w:lvlText w:val="%1."/>
      <w:lvlJc w:val="left"/>
      <w:pPr>
        <w:tabs>
          <w:tab w:val="left" w:pos="312"/>
        </w:tabs>
      </w:pPr>
    </w:lvl>
  </w:abstractNum>
  <w:abstractNum w:abstractNumId="3">
    <w:nsid w:val="6CC23B77"/>
    <w:multiLevelType w:val="singleLevel"/>
    <w:tmpl w:val="6CC23B77"/>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38D77AA"/>
    <w:rsid w:val="03E511CE"/>
    <w:rsid w:val="05C9284F"/>
    <w:rsid w:val="06AE7C7C"/>
    <w:rsid w:val="07596947"/>
    <w:rsid w:val="08BB213F"/>
    <w:rsid w:val="0A3112C2"/>
    <w:rsid w:val="0A9F1E34"/>
    <w:rsid w:val="0F6A41A3"/>
    <w:rsid w:val="0FD26D28"/>
    <w:rsid w:val="13E504DB"/>
    <w:rsid w:val="16187F27"/>
    <w:rsid w:val="16C7217A"/>
    <w:rsid w:val="17616700"/>
    <w:rsid w:val="1811494B"/>
    <w:rsid w:val="1ACD014D"/>
    <w:rsid w:val="1FDD3483"/>
    <w:rsid w:val="26DF4423"/>
    <w:rsid w:val="294127F8"/>
    <w:rsid w:val="2F4A7D42"/>
    <w:rsid w:val="2F8136A5"/>
    <w:rsid w:val="34431552"/>
    <w:rsid w:val="34E95998"/>
    <w:rsid w:val="3BA16338"/>
    <w:rsid w:val="3E344EC8"/>
    <w:rsid w:val="40E45A7F"/>
    <w:rsid w:val="42BD1856"/>
    <w:rsid w:val="42E504D9"/>
    <w:rsid w:val="43B61140"/>
    <w:rsid w:val="501336C3"/>
    <w:rsid w:val="511D0148"/>
    <w:rsid w:val="530137D4"/>
    <w:rsid w:val="55615240"/>
    <w:rsid w:val="580130AC"/>
    <w:rsid w:val="58EC77BD"/>
    <w:rsid w:val="58F2380F"/>
    <w:rsid w:val="5B201E1B"/>
    <w:rsid w:val="5E6358A4"/>
    <w:rsid w:val="605E5BC9"/>
    <w:rsid w:val="664711C8"/>
    <w:rsid w:val="68BC091D"/>
    <w:rsid w:val="68E85FBB"/>
    <w:rsid w:val="69470C16"/>
    <w:rsid w:val="721B2883"/>
    <w:rsid w:val="742E3E4E"/>
    <w:rsid w:val="755A07DE"/>
    <w:rsid w:val="77234F65"/>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106</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Jccaie</cp:lastModifiedBy>
  <dcterms:modified xsi:type="dcterms:W3CDTF">2021-09-07T08:38:52Z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75A8DF61190748DEB7202EDEF9A65B0C</vt:lpwstr>
  </property>
</Properties>
</file>