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24" w:name="_GoBack"/>
    </w:p>
    <w:p>
      <w:pPr>
        <w:spacing w:line="1000" w:lineRule="exact"/>
        <w:jc w:val="center"/>
        <w:rPr>
          <w:rFonts w:ascii="仿宋" w:hAnsi="仿宋" w:eastAsia="仿宋"/>
          <w:b/>
          <w:color w:val="auto"/>
          <w:sz w:val="56"/>
          <w:szCs w:val="72"/>
        </w:rPr>
      </w:pPr>
      <w:bookmarkStart w:id="0" w:name="_Hlk38472698"/>
      <w:r>
        <w:rPr>
          <w:rFonts w:hint="eastAsia" w:ascii="仿宋" w:hAnsi="仿宋" w:eastAsia="仿宋"/>
          <w:b/>
          <w:color w:val="auto"/>
          <w:sz w:val="56"/>
          <w:szCs w:val="72"/>
        </w:rPr>
        <w:t>广州应用科技学院</w:t>
      </w:r>
    </w:p>
    <w:p>
      <w:pPr>
        <w:spacing w:line="1000" w:lineRule="exact"/>
        <w:jc w:val="center"/>
        <w:rPr>
          <w:rFonts w:ascii="仿宋" w:hAnsi="仿宋" w:eastAsia="仿宋"/>
          <w:b/>
          <w:color w:val="auto"/>
          <w:sz w:val="40"/>
          <w:szCs w:val="44"/>
        </w:rPr>
      </w:pPr>
      <w:r>
        <w:rPr>
          <w:rFonts w:hint="eastAsia" w:ascii="仿宋" w:hAnsi="仿宋" w:eastAsia="仿宋"/>
          <w:b/>
          <w:color w:val="auto"/>
          <w:sz w:val="40"/>
          <w:szCs w:val="44"/>
        </w:rPr>
        <w:t>关于肇庆校区教学楼、实验楼办公家具采购项目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bookmarkEnd w:id="324"/>
    <w:p>
      <w:pPr>
        <w:spacing w:line="500" w:lineRule="exact"/>
        <w:jc w:val="center"/>
        <w:rPr>
          <w:rFonts w:ascii="仿宋" w:hAnsi="仿宋" w:eastAsia="仿宋"/>
          <w:b/>
          <w:color w:val="auto"/>
          <w:sz w:val="36"/>
          <w:szCs w:val="36"/>
        </w:rPr>
      </w:pPr>
      <w:r>
        <w:rPr>
          <w:rFonts w:hint="eastAsia" w:ascii="仿宋" w:hAnsi="仿宋" w:eastAsia="仿宋"/>
          <w:b/>
          <w:sz w:val="36"/>
          <w:szCs w:val="36"/>
        </w:rPr>
        <w:t>项目编号：</w:t>
      </w:r>
      <w:r>
        <w:rPr>
          <w:rFonts w:hint="eastAsia" w:ascii="仿宋" w:hAnsi="仿宋" w:eastAsia="仿宋"/>
          <w:b/>
          <w:color w:val="auto"/>
          <w:sz w:val="36"/>
          <w:szCs w:val="36"/>
        </w:rPr>
        <w:t>A-YQ2021-01</w:t>
      </w:r>
    </w:p>
    <w:p>
      <w:pPr>
        <w:spacing w:line="500" w:lineRule="exact"/>
        <w:jc w:val="center"/>
        <w:rPr>
          <w:rFonts w:ascii="仿宋" w:hAnsi="仿宋" w:eastAsia="仿宋"/>
          <w:b/>
          <w:color w:val="auto"/>
          <w:sz w:val="40"/>
          <w:szCs w:val="40"/>
        </w:rPr>
        <w:sectPr>
          <w:headerReference r:id="rId4" w:type="first"/>
          <w:headerReference r:id="rId3" w:type="default"/>
          <w:footerReference r:id="rId5" w:type="default"/>
          <w:pgSz w:w="11906" w:h="16838"/>
          <w:pgMar w:top="1440" w:right="1416" w:bottom="1440" w:left="1134" w:header="851" w:footer="227" w:gutter="0"/>
          <w:cols w:space="425" w:num="1"/>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9692600"/>
      <w:bookmarkStart w:id="5" w:name="_Toc267060407"/>
      <w:bookmarkStart w:id="6" w:name="_Toc258401210"/>
      <w:bookmarkStart w:id="7" w:name="_Toc267060162"/>
      <w:bookmarkStart w:id="8" w:name="_Toc273178686"/>
      <w:bookmarkStart w:id="9" w:name="_Toc249325665"/>
      <w:bookmarkStart w:id="10" w:name="_Toc216241307"/>
      <w:bookmarkStart w:id="11" w:name="_Toc254790852"/>
      <w:bookmarkStart w:id="12" w:name="_Toc267059519"/>
      <w:bookmarkStart w:id="13" w:name="_Toc160880487"/>
      <w:bookmarkStart w:id="14" w:name="_Toc225669277"/>
      <w:bookmarkStart w:id="15" w:name="_Toc255974963"/>
      <w:bookmarkStart w:id="16" w:name="_Toc266868624"/>
      <w:bookmarkStart w:id="17" w:name="_Toc267059161"/>
      <w:bookmarkStart w:id="18" w:name="_Toc212530253"/>
      <w:bookmarkStart w:id="19" w:name="_Toc267059633"/>
      <w:bookmarkStart w:id="20" w:name="_Toc266868924"/>
      <w:bookmarkStart w:id="21" w:name="_Toc212454753"/>
      <w:bookmarkStart w:id="22" w:name="_Toc266870861"/>
      <w:bookmarkStart w:id="23" w:name="_Toc251586187"/>
      <w:bookmarkStart w:id="24" w:name="_Toc219800200"/>
      <w:bookmarkStart w:id="25" w:name="_Toc267059899"/>
      <w:bookmarkStart w:id="26" w:name="_Toc235438227"/>
      <w:bookmarkStart w:id="27" w:name="_Toc227058483"/>
      <w:bookmarkStart w:id="28" w:name="_Toc217891359"/>
      <w:bookmarkStart w:id="29" w:name="_Toc236021402"/>
      <w:bookmarkStart w:id="30" w:name="_Toc212526081"/>
      <w:bookmarkStart w:id="31" w:name="_Toc235437942"/>
      <w:bookmarkStart w:id="32" w:name="_Toc169332904"/>
      <w:bookmarkStart w:id="33" w:name="_Toc267059010"/>
      <w:bookmarkStart w:id="34" w:name="_Toc170798743"/>
      <w:bookmarkStart w:id="35" w:name="_Toc253066567"/>
      <w:bookmarkStart w:id="36" w:name="_Toc267060022"/>
      <w:bookmarkStart w:id="37" w:name="_Toc235438297"/>
      <w:bookmarkStart w:id="38" w:name="_Toc223146565"/>
      <w:bookmarkStart w:id="39" w:name="_Toc211937196"/>
      <w:bookmarkStart w:id="40" w:name="_Toc207014580"/>
      <w:bookmarkStart w:id="41" w:name="_Toc177985424"/>
      <w:bookmarkStart w:id="42" w:name="_Toc267059786"/>
      <w:bookmarkStart w:id="43" w:name="_Toc259692693"/>
      <w:bookmarkStart w:id="44" w:name="_Toc259520819"/>
      <w:bookmarkStart w:id="45" w:name="_Toc251613780"/>
      <w:bookmarkStart w:id="46" w:name="_Toc266870386"/>
      <w:bookmarkStart w:id="47" w:name="_Toc169332794"/>
      <w:bookmarkStart w:id="48" w:name="_Toc212456146"/>
      <w:r>
        <w:rPr>
          <w:rFonts w:hint="eastAsia" w:ascii="仿宋" w:hAnsi="仿宋" w:eastAsia="仿宋"/>
          <w:b/>
          <w:color w:val="auto"/>
          <w:sz w:val="36"/>
          <w:szCs w:val="44"/>
        </w:rPr>
        <w:t>肇庆校区教学楼、实验楼办公家具采购</w:t>
      </w:r>
    </w:p>
    <w:p>
      <w:pPr>
        <w:pStyle w:val="53"/>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425" w:firstLineChars="152"/>
        <w:jc w:val="left"/>
        <w:rPr>
          <w:rFonts w:ascii="仿宋" w:hAnsi="仿宋" w:eastAsia="仿宋"/>
          <w:sz w:val="28"/>
          <w:szCs w:val="28"/>
        </w:rPr>
      </w:pPr>
      <w:bookmarkStart w:id="49" w:name="_Hlk10840310"/>
      <w:r>
        <w:rPr>
          <w:rFonts w:hint="eastAsia" w:ascii="仿宋" w:hAnsi="仿宋" w:eastAsia="仿宋"/>
          <w:sz w:val="28"/>
          <w:szCs w:val="28"/>
        </w:rPr>
        <w:t>根据公开、公平、公正的原则，广州应用科技学院肇庆校区依据建设需求，现院系办公家具采购项目邀请符合资格且国内有意向商家参与。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sz w:val="28"/>
          <w:szCs w:val="28"/>
        </w:rPr>
        <w:t>项目编号：</w:t>
      </w:r>
      <w:r>
        <w:rPr>
          <w:rFonts w:hint="eastAsia" w:ascii="仿宋" w:hAnsi="仿宋" w:eastAsia="仿宋"/>
          <w:color w:val="auto"/>
          <w:sz w:val="28"/>
          <w:szCs w:val="28"/>
        </w:rPr>
        <w:t>A-YQ2021-01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44"/>
        </w:rPr>
        <w:t>肇庆校区教学楼、实验楼办公家具采购项目</w:t>
      </w:r>
    </w:p>
    <w:p>
      <w:pPr>
        <w:widowControl w:val="0"/>
        <w:numPr>
          <w:ilvl w:val="1"/>
          <w:numId w:val="1"/>
        </w:numPr>
        <w:tabs>
          <w:tab w:val="left" w:pos="284"/>
          <w:tab w:val="clear" w:pos="839"/>
        </w:tabs>
        <w:spacing w:after="0" w:line="500" w:lineRule="exact"/>
        <w:ind w:left="0" w:firstLine="426"/>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数量及主要技术要求:详见《公开询价货物一览表》，需提供该表第18项办公椅样品成品、沙发和木板材料小样以及五金锁样板。</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firstLine="280" w:firstLineChars="100"/>
        <w:rPr>
          <w:rFonts w:ascii="仿宋" w:hAnsi="仿宋" w:eastAsia="仿宋"/>
          <w:color w:val="auto"/>
          <w:sz w:val="28"/>
          <w:szCs w:val="28"/>
        </w:rPr>
      </w:pPr>
      <w:r>
        <w:rPr>
          <w:rFonts w:hint="eastAsia" w:ascii="仿宋" w:hAnsi="仿宋" w:eastAsia="仿宋"/>
          <w:color w:val="auto"/>
          <w:sz w:val="28"/>
          <w:szCs w:val="28"/>
        </w:rPr>
        <w:t>（1）参与人应具有独立法人资格，具有独立承担民事责任能力的生产厂商或授权代理商。</w:t>
      </w:r>
    </w:p>
    <w:p>
      <w:pPr>
        <w:spacing w:after="0" w:line="500" w:lineRule="exact"/>
        <w:ind w:left="354" w:leftChars="161"/>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2</w:t>
      </w:r>
      <w:r>
        <w:rPr>
          <w:rFonts w:hint="eastAsia" w:ascii="仿宋" w:hAnsi="仿宋" w:eastAsia="仿宋"/>
          <w:color w:val="auto"/>
          <w:sz w:val="28"/>
          <w:szCs w:val="28"/>
        </w:rPr>
        <w:t>）参与人应具</w:t>
      </w:r>
      <w:r>
        <w:rPr>
          <w:rFonts w:ascii="仿宋" w:hAnsi="仿宋" w:eastAsia="仿宋"/>
          <w:color w:val="auto"/>
          <w:sz w:val="28"/>
          <w:szCs w:val="28"/>
        </w:rPr>
        <w:t>有提</w:t>
      </w:r>
      <w:r>
        <w:rPr>
          <w:rFonts w:hint="eastAsia" w:ascii="仿宋" w:hAnsi="仿宋" w:eastAsia="仿宋"/>
          <w:color w:val="auto"/>
          <w:sz w:val="28"/>
          <w:szCs w:val="28"/>
        </w:rPr>
        <w:t>供家具</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。在肇庆市范围有固定售后服务机构，具备相应的维护保养能力。</w:t>
      </w:r>
    </w:p>
    <w:p>
      <w:pPr>
        <w:widowControl w:val="0"/>
        <w:spacing w:after="0" w:line="500" w:lineRule="exact"/>
        <w:ind w:firstLine="280" w:firstLineChars="100"/>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widowControl w:val="0"/>
        <w:spacing w:after="0" w:line="500" w:lineRule="exact"/>
        <w:ind w:firstLine="280" w:firstLineChars="100"/>
        <w:rPr>
          <w:rFonts w:ascii="仿宋" w:hAnsi="仿宋" w:eastAsia="仿宋"/>
          <w:color w:val="auto"/>
          <w:sz w:val="28"/>
          <w:szCs w:val="28"/>
        </w:rPr>
      </w:pPr>
      <w:r>
        <w:rPr>
          <w:rFonts w:hint="eastAsia" w:ascii="仿宋" w:hAnsi="仿宋" w:eastAsia="仿宋"/>
          <w:color w:val="auto"/>
          <w:sz w:val="28"/>
          <w:szCs w:val="28"/>
        </w:rPr>
        <w:t>（4）参与人具有相关办公家具2年以上（包括2年）3个以上同类项目销售和良好的售后服务应用成功案例,近三年未发生重大安全或质量事故。</w:t>
      </w:r>
    </w:p>
    <w:p>
      <w:pPr>
        <w:widowControl w:val="0"/>
        <w:spacing w:after="0" w:line="500" w:lineRule="exact"/>
        <w:ind w:firstLine="280" w:firstLineChars="100"/>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widowControl w:val="0"/>
        <w:spacing w:after="0" w:line="500" w:lineRule="exact"/>
        <w:ind w:firstLine="280" w:firstLineChars="100"/>
        <w:rPr>
          <w:rFonts w:ascii="仿宋" w:hAnsi="仿宋" w:eastAsia="仿宋"/>
          <w:color w:val="auto"/>
          <w:sz w:val="28"/>
          <w:szCs w:val="28"/>
        </w:rPr>
      </w:pPr>
      <w:r>
        <w:rPr>
          <w:rFonts w:hint="eastAsia" w:ascii="仿宋" w:hAnsi="仿宋" w:eastAsia="仿宋"/>
          <w:color w:val="auto"/>
          <w:sz w:val="28"/>
          <w:szCs w:val="28"/>
        </w:rPr>
        <w:t>（6）参与人有依法缴纳税金的良好记录。</w:t>
      </w:r>
    </w:p>
    <w:p>
      <w:pPr>
        <w:widowControl w:val="0"/>
        <w:spacing w:after="0" w:line="500" w:lineRule="exact"/>
        <w:ind w:left="420"/>
        <w:rPr>
          <w:rFonts w:ascii="仿宋" w:hAnsi="仿宋" w:eastAsia="仿宋"/>
          <w:color w:val="auto"/>
          <w:sz w:val="28"/>
          <w:szCs w:val="28"/>
        </w:rPr>
      </w:pPr>
      <w:r>
        <w:rPr>
          <w:rFonts w:hint="eastAsia" w:ascii="仿宋" w:hAnsi="仿宋" w:eastAsia="仿宋"/>
          <w:color w:val="auto"/>
          <w:sz w:val="28"/>
          <w:szCs w:val="28"/>
        </w:rPr>
        <w:t>5.报价响应文件及样品递交方式：响应文件密封报价及样品按规定时间现场递交。</w:t>
      </w:r>
    </w:p>
    <w:p>
      <w:pPr>
        <w:widowControl w:val="0"/>
        <w:spacing w:after="0" w:line="500" w:lineRule="exact"/>
        <w:ind w:left="420"/>
        <w:rPr>
          <w:rFonts w:ascii="仿宋" w:hAnsi="仿宋" w:eastAsia="仿宋"/>
          <w:color w:val="auto"/>
          <w:sz w:val="28"/>
          <w:szCs w:val="28"/>
        </w:rPr>
      </w:pPr>
      <w:r>
        <w:rPr>
          <w:rFonts w:hint="eastAsia" w:ascii="仿宋" w:hAnsi="仿宋" w:eastAsia="仿宋"/>
          <w:color w:val="auto"/>
          <w:sz w:val="28"/>
          <w:szCs w:val="28"/>
        </w:rPr>
        <w:t>6.报价响应文件及样品递交截止时间：2021年8月0</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日17:00前。</w:t>
      </w:r>
    </w:p>
    <w:p>
      <w:pPr>
        <w:widowControl w:val="0"/>
        <w:spacing w:after="0" w:line="500" w:lineRule="exact"/>
        <w:ind w:left="420"/>
        <w:rPr>
          <w:rFonts w:ascii="仿宋" w:hAnsi="仿宋" w:eastAsia="仿宋"/>
          <w:color w:val="auto"/>
          <w:sz w:val="28"/>
          <w:szCs w:val="28"/>
        </w:rPr>
      </w:pPr>
      <w:r>
        <w:rPr>
          <w:rFonts w:hint="eastAsia" w:ascii="仿宋" w:hAnsi="仿宋" w:eastAsia="仿宋"/>
          <w:color w:val="auto"/>
          <w:sz w:val="28"/>
          <w:szCs w:val="28"/>
        </w:rPr>
        <w:t>7. 报价响应文件递交地点：广东省肇庆市鼎湖区莲花镇丰乐路20号广州应用科技学院肇庆校区行政办公楼203办公室。</w:t>
      </w:r>
    </w:p>
    <w:p>
      <w:pPr>
        <w:widowControl w:val="0"/>
        <w:spacing w:after="0" w:line="500" w:lineRule="exact"/>
        <w:ind w:left="420"/>
        <w:rPr>
          <w:rFonts w:ascii="仿宋" w:hAnsi="仿宋" w:eastAsia="仿宋"/>
          <w:color w:val="auto"/>
          <w:sz w:val="28"/>
          <w:szCs w:val="28"/>
        </w:rPr>
      </w:pPr>
      <w:r>
        <w:rPr>
          <w:rFonts w:hint="eastAsia" w:ascii="仿宋" w:hAnsi="仿宋" w:eastAsia="仿宋"/>
          <w:color w:val="auto"/>
          <w:sz w:val="28"/>
          <w:szCs w:val="28"/>
        </w:rPr>
        <w:t>联系人：陈君维；联系电话：13527063833</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1.所有货物均以人民币报价；</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2.报价响应文件2份，必须用A4幅面纸张打印，须由参与人填写并加盖公章；</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3.报价响应文件用不退色墨水书写或打印，因字迹潦草或表达不清所引起的后果由参与人自负；</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4.报价响应文件及所有相关资料需同时进行密封处理，并在密封处加盖公章，未做密封处理及未加盖公章的视为无效报价；</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5.一个参与人只能提交一个报价响应文件。本项目不接受联合体报价。</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三、售后服务要求（根据项目情况可自行修改）</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1. 免费保修期；</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2. 应急维修时间安排；</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3. 维修地点、地址、联系电话及联系人员；</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4. 维修服务收费标准；</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5. 主要零配件及易耗品价格；</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220" w:firstLine="560" w:firstLineChars="200"/>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所投设备符合采购需求、质量和服务要求,经过磋商谈判所报价格为合理价格的参与人为成交参与人，最低报价不作为成交的保证。</w:t>
      </w:r>
    </w:p>
    <w:p>
      <w:pPr>
        <w:widowControl w:val="0"/>
        <w:spacing w:after="0" w:line="500" w:lineRule="exact"/>
        <w:ind w:left="220"/>
        <w:rPr>
          <w:rFonts w:ascii="仿宋" w:hAnsi="仿宋" w:eastAsia="仿宋"/>
          <w:color w:val="auto"/>
          <w:sz w:val="28"/>
          <w:szCs w:val="28"/>
        </w:rPr>
      </w:pPr>
      <w:r>
        <w:rPr>
          <w:rFonts w:hint="eastAsia" w:ascii="仿宋" w:hAnsi="仿宋" w:eastAsia="仿宋"/>
          <w:color w:val="auto"/>
          <w:sz w:val="28"/>
          <w:szCs w:val="28"/>
        </w:rPr>
        <w:t>五、付款方式</w:t>
      </w:r>
    </w:p>
    <w:p>
      <w:pPr>
        <w:widowControl w:val="0"/>
        <w:spacing w:after="0" w:line="500" w:lineRule="exact"/>
        <w:ind w:left="220" w:firstLine="560" w:firstLineChars="200"/>
        <w:rPr>
          <w:rFonts w:ascii="仿宋" w:hAnsi="仿宋" w:eastAsia="仿宋"/>
          <w:color w:val="auto"/>
          <w:sz w:val="28"/>
          <w:szCs w:val="28"/>
        </w:rPr>
      </w:pPr>
      <w:r>
        <w:rPr>
          <w:rFonts w:hint="eastAsia" w:ascii="仿宋" w:hAnsi="仿宋" w:eastAsia="仿宋"/>
          <w:color w:val="auto"/>
          <w:sz w:val="28"/>
          <w:szCs w:val="28"/>
        </w:rPr>
        <w:t>到货安装款：即合同总金额的50%，货物到齐并完成安装调试，甲方收到乙方开具的全额增值税普通发票后二十个工作日甲方向乙方支付（乙方需提供请款函和送货单并由甲方项目负责人书面确认货物到齐并完成安装）；</w:t>
      </w:r>
    </w:p>
    <w:p>
      <w:pPr>
        <w:widowControl w:val="0"/>
        <w:spacing w:after="0" w:line="500" w:lineRule="exact"/>
        <w:ind w:left="220" w:firstLine="560" w:firstLineChars="200"/>
        <w:rPr>
          <w:rFonts w:ascii="仿宋" w:hAnsi="仿宋" w:eastAsia="仿宋"/>
          <w:color w:val="auto"/>
          <w:sz w:val="28"/>
          <w:szCs w:val="28"/>
        </w:rPr>
      </w:pPr>
      <w:r>
        <w:rPr>
          <w:rFonts w:hint="eastAsia" w:ascii="仿宋" w:hAnsi="仿宋" w:eastAsia="仿宋"/>
          <w:color w:val="auto"/>
          <w:sz w:val="28"/>
          <w:szCs w:val="28"/>
        </w:rPr>
        <w:t>验收款：安装正常使用验收合格后20个工作日内支付合同金额45%，乙方交付货物并安装调试完毕30 天后组织验收，经甲方验收合格（验收合格时间以甲方书面验收表为准）后二十个工作日内甲方向乙方支付；</w:t>
      </w:r>
    </w:p>
    <w:p>
      <w:pPr>
        <w:widowControl w:val="0"/>
        <w:spacing w:after="0" w:line="500" w:lineRule="exact"/>
        <w:ind w:left="220" w:firstLine="560" w:firstLineChars="200"/>
        <w:rPr>
          <w:rFonts w:ascii="仿宋" w:hAnsi="仿宋" w:eastAsia="仿宋"/>
          <w:color w:val="auto"/>
          <w:sz w:val="28"/>
          <w:szCs w:val="28"/>
        </w:rPr>
      </w:pPr>
      <w:r>
        <w:rPr>
          <w:rFonts w:hint="eastAsia" w:ascii="仿宋" w:hAnsi="仿宋" w:eastAsia="仿宋"/>
          <w:color w:val="auto"/>
          <w:sz w:val="28"/>
          <w:szCs w:val="28"/>
        </w:rPr>
        <w:t>质保金：即合同总金额的5%，自甲方签署验收合格表之日起一年后，经二次验收合格二十个工作日内甲方向乙方无息支付（乙方需提供质保金申请退回函）。</w:t>
      </w:r>
    </w:p>
    <w:p>
      <w:pPr>
        <w:rPr>
          <w:rFonts w:ascii="仿宋" w:hAnsi="仿宋" w:eastAsia="仿宋"/>
          <w:color w:val="FF0000"/>
          <w:sz w:val="28"/>
          <w:szCs w:val="28"/>
        </w:rPr>
      </w:pPr>
      <w:r>
        <w:rPr>
          <w:rFonts w:ascii="仿宋" w:hAnsi="仿宋" w:eastAsia="仿宋"/>
          <w:color w:val="FF0000"/>
          <w:sz w:val="28"/>
          <w:szCs w:val="28"/>
        </w:rPr>
        <w:br w:type="page"/>
      </w:r>
    </w:p>
    <w:p>
      <w:pPr>
        <w:numPr>
          <w:ilvl w:val="0"/>
          <w:numId w:val="2"/>
        </w:numPr>
        <w:spacing w:line="420" w:lineRule="exact"/>
        <w:jc w:val="center"/>
        <w:rPr>
          <w:rFonts w:ascii="仿宋" w:hAnsi="仿宋" w:eastAsia="仿宋"/>
          <w:b/>
          <w:sz w:val="44"/>
          <w:szCs w:val="44"/>
        </w:rPr>
      </w:pPr>
      <w:r>
        <w:rPr>
          <w:rFonts w:hint="eastAsia" w:ascii="仿宋" w:hAnsi="仿宋" w:eastAsia="仿宋"/>
          <w:b/>
          <w:sz w:val="44"/>
          <w:szCs w:val="44"/>
        </w:rPr>
        <w:t>公开询价</w:t>
      </w:r>
      <w:bookmarkEnd w:id="49"/>
      <w:r>
        <w:rPr>
          <w:rFonts w:hint="eastAsia" w:ascii="仿宋" w:hAnsi="仿宋" w:eastAsia="仿宋"/>
          <w:b/>
          <w:sz w:val="44"/>
          <w:szCs w:val="44"/>
        </w:rPr>
        <w:t>货物一览表</w:t>
      </w:r>
    </w:p>
    <w:p>
      <w:pPr>
        <w:pStyle w:val="53"/>
        <w:spacing w:line="360" w:lineRule="auto"/>
        <w:jc w:val="right"/>
        <w:outlineLvl w:val="0"/>
        <w:rPr>
          <w:rFonts w:ascii="仿宋" w:hAnsi="仿宋" w:eastAsia="仿宋"/>
          <w:b/>
          <w:color w:val="auto"/>
          <w:sz w:val="44"/>
          <w:szCs w:val="44"/>
        </w:rPr>
      </w:pPr>
      <w:r>
        <w:rPr>
          <w:rFonts w:hint="eastAsia" w:ascii="仿宋" w:hAnsi="仿宋" w:eastAsia="仿宋"/>
          <w:b/>
          <w:color w:val="auto"/>
        </w:rPr>
        <w:t>单位：元</w:t>
      </w:r>
    </w:p>
    <w:tbl>
      <w:tblPr>
        <w:tblStyle w:val="25"/>
        <w:tblW w:w="10285" w:type="dxa"/>
        <w:tblInd w:w="96"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38"/>
        <w:gridCol w:w="439"/>
        <w:gridCol w:w="875"/>
        <w:gridCol w:w="409"/>
        <w:gridCol w:w="480"/>
        <w:gridCol w:w="3252"/>
        <w:gridCol w:w="2199"/>
        <w:gridCol w:w="709"/>
        <w:gridCol w:w="709"/>
        <w:gridCol w:w="77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94" w:hRule="atLeast"/>
        </w:trPr>
        <w:tc>
          <w:tcPr>
            <w:tcW w:w="438" w:type="dxa"/>
            <w:tcBorders>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439"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产品名称</w:t>
            </w:r>
          </w:p>
        </w:tc>
        <w:tc>
          <w:tcPr>
            <w:tcW w:w="875"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规格尺寸（W*D*H）mm</w:t>
            </w:r>
          </w:p>
        </w:tc>
        <w:tc>
          <w:tcPr>
            <w:tcW w:w="409"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单位</w:t>
            </w:r>
          </w:p>
        </w:tc>
        <w:tc>
          <w:tcPr>
            <w:tcW w:w="480"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数量</w:t>
            </w:r>
          </w:p>
        </w:tc>
        <w:tc>
          <w:tcPr>
            <w:tcW w:w="3252"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材料说明</w:t>
            </w:r>
          </w:p>
        </w:tc>
        <w:tc>
          <w:tcPr>
            <w:tcW w:w="2199"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参考图片</w:t>
            </w:r>
          </w:p>
        </w:tc>
        <w:tc>
          <w:tcPr>
            <w:tcW w:w="709"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颜色</w:t>
            </w:r>
          </w:p>
        </w:tc>
        <w:tc>
          <w:tcPr>
            <w:tcW w:w="709" w:type="dxa"/>
            <w:tcBorders>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含税 单价（元）</w:t>
            </w:r>
          </w:p>
        </w:tc>
        <w:tc>
          <w:tcPr>
            <w:tcW w:w="775" w:type="dxa"/>
            <w:tcBorders>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含税 小计（元）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办公桌</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2000W*1800D*760H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1、面材：AAA级优质胡桃木皮饰面；                                                                                                                                                           2、基材：E1级国际环保密度纤维板，确保甲醛之排放达至安全水平；                                                                                                                                3、封边：与贴面相同的实木木材；                                                                                                                                                         4、油漆：采用优质PE底漆,德国PU面漆，符合欧洲环保要求；                                                                                                                                   5、五金配件：著名优质五金配件.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59264" behindDoc="0" locked="0" layoutInCell="1" allowOverlap="1">
                  <wp:simplePos x="0" y="0"/>
                  <wp:positionH relativeFrom="column">
                    <wp:posOffset>52705</wp:posOffset>
                  </wp:positionH>
                  <wp:positionV relativeFrom="paragraph">
                    <wp:posOffset>353695</wp:posOffset>
                  </wp:positionV>
                  <wp:extent cx="1136650" cy="882650"/>
                  <wp:effectExtent l="19050" t="0" r="6350" b="0"/>
                  <wp:wrapNone/>
                  <wp:docPr id="31" name="图片_20"/>
                  <wp:cNvGraphicFramePr/>
                  <a:graphic xmlns:a="http://schemas.openxmlformats.org/drawingml/2006/main">
                    <a:graphicData uri="http://schemas.openxmlformats.org/drawingml/2006/picture">
                      <pic:pic xmlns:pic="http://schemas.openxmlformats.org/drawingml/2006/picture">
                        <pic:nvPicPr>
                          <pic:cNvPr id="31" name="图片_20"/>
                          <pic:cNvPicPr/>
                        </pic:nvPicPr>
                        <pic:blipFill>
                          <a:blip r:embed="rId13" cstate="print"/>
                          <a:stretch>
                            <a:fillRect/>
                          </a:stretch>
                        </pic:blipFill>
                        <pic:spPr>
                          <a:xfrm>
                            <a:off x="0" y="0"/>
                            <a:ext cx="1136650" cy="8826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如图</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24"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文件柜</w:t>
            </w:r>
          </w:p>
        </w:tc>
        <w:tc>
          <w:tcPr>
            <w:tcW w:w="875" w:type="dxa"/>
            <w:tcBorders>
              <w:top w:val="nil"/>
              <w:left w:val="nil"/>
              <w:bottom w:val="nil"/>
              <w:right w:val="nil"/>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900W*400D*1800H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上玻中抽下铁 材料：厚度足0.8MM以上，铁须经过酸洗磷化。</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0288" behindDoc="0" locked="0" layoutInCell="1" allowOverlap="1">
                  <wp:simplePos x="0" y="0"/>
                  <wp:positionH relativeFrom="column">
                    <wp:posOffset>502285</wp:posOffset>
                  </wp:positionH>
                  <wp:positionV relativeFrom="paragraph">
                    <wp:posOffset>51435</wp:posOffset>
                  </wp:positionV>
                  <wp:extent cx="459740" cy="984250"/>
                  <wp:effectExtent l="0" t="0" r="12700" b="6350"/>
                  <wp:wrapNone/>
                  <wp:docPr id="64" name="图片_8"/>
                  <wp:cNvGraphicFramePr/>
                  <a:graphic xmlns:a="http://schemas.openxmlformats.org/drawingml/2006/main">
                    <a:graphicData uri="http://schemas.openxmlformats.org/drawingml/2006/picture">
                      <pic:pic xmlns:pic="http://schemas.openxmlformats.org/drawingml/2006/picture">
                        <pic:nvPicPr>
                          <pic:cNvPr id="64" name="图片_8"/>
                          <pic:cNvPicPr/>
                        </pic:nvPicPr>
                        <pic:blipFill>
                          <a:blip r:embed="rId14" cstate="print"/>
                          <a:stretch>
                            <a:fillRect/>
                          </a:stretch>
                        </pic:blipFill>
                        <pic:spPr>
                          <a:xfrm>
                            <a:off x="0" y="0"/>
                            <a:ext cx="459740" cy="9842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3</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高背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·优质西皮或巴西进口头层黄牛皮饰面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·18mm厚单层连体弯板</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·PP边体扶手架，配皮扶手面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·飞机底盘带原位锁定功能</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·65#黑色汽杆·∮350尼龙脚·φ50MM黑色尼龙轮</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drawing>
                <wp:inline distT="0" distB="0" distL="0" distR="0">
                  <wp:extent cx="589280" cy="958215"/>
                  <wp:effectExtent l="0" t="0" r="1270" b="0"/>
                  <wp:docPr id="6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9"/>
                          <pic:cNvPicPr>
                            <a:picLocks noChangeAspect="1"/>
                          </pic:cNvPicPr>
                        </pic:nvPicPr>
                        <pic:blipFill>
                          <a:blip r:embed="rId15" cstate="print">
                            <a:clrChange>
                              <a:clrFrom>
                                <a:srgbClr val="FFFFFF">
                                  <a:alpha val="100000"/>
                                </a:srgbClr>
                              </a:clrFrom>
                              <a:clrTo>
                                <a:srgbClr val="FFFFFF">
                                  <a:alpha val="100000"/>
                                  <a:alpha val="0"/>
                                </a:srgbClr>
                              </a:clrTo>
                            </a:clrChange>
                          </a:blip>
                          <a:srcRect l="12117" t="2928" r="6158" b="9031"/>
                          <a:stretch>
                            <a:fillRect/>
                          </a:stretch>
                        </pic:blipFill>
                        <pic:spPr>
                          <a:xfrm>
                            <a:off x="0" y="0"/>
                            <a:ext cx="590608" cy="960582"/>
                          </a:xfrm>
                          <a:prstGeom prst="rect">
                            <a:avLst/>
                          </a:prstGeom>
                        </pic:spPr>
                      </pic:pic>
                    </a:graphicData>
                  </a:graphic>
                </wp:inline>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4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4</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班前椅</w:t>
            </w:r>
          </w:p>
        </w:tc>
        <w:tc>
          <w:tcPr>
            <w:tcW w:w="8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中背                                       可换底盘回弹功能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74</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·优质西皮或巴西进口头层黄牛皮饰面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·18mm厚单层连体弯板</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·PP边体扶手架，配皮扶手面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·大蝴蝶底盘带原位锁定功能</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·65#黑色汽杆·∮350尼龙脚·φ50MM黑色尼龙轮</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ascii="宋体" w:hAnsi="宋体" w:eastAsia="宋体" w:cs="宋体"/>
                <w:color w:val="000000"/>
                <w:sz w:val="15"/>
                <w:szCs w:val="15"/>
              </w:rPr>
              <w:drawing>
                <wp:inline distT="0" distB="0" distL="0" distR="0">
                  <wp:extent cx="693420" cy="739140"/>
                  <wp:effectExtent l="0" t="0" r="0" b="3810"/>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93420" cy="739140"/>
                          </a:xfrm>
                          <a:prstGeom prst="rect">
                            <a:avLst/>
                          </a:prstGeom>
                          <a:noFill/>
                        </pic:spPr>
                      </pic:pic>
                    </a:graphicData>
                  </a:graphic>
                </wp:inline>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5</w:t>
            </w:r>
          </w:p>
        </w:tc>
        <w:tc>
          <w:tcPr>
            <w:tcW w:w="43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茶水柜</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800W*400D*900H</w:t>
            </w:r>
          </w:p>
        </w:tc>
        <w:tc>
          <w:tcPr>
            <w:tcW w:w="40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1.基材：国产优质免漆板达E1级环保板，握钉力强，吸水膨胀率低，游离甲醛含量达E1标准。2.面材：国产免漆板、阻燃、防污、耐冲击、耐刮损、耐磨性强。3.封边：优质PVC硬封边，颜色均匀，4.优质五金配件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1312" behindDoc="0" locked="0" layoutInCell="1" allowOverlap="1">
                  <wp:simplePos x="0" y="0"/>
                  <wp:positionH relativeFrom="column">
                    <wp:posOffset>409575</wp:posOffset>
                  </wp:positionH>
                  <wp:positionV relativeFrom="paragraph">
                    <wp:posOffset>212090</wp:posOffset>
                  </wp:positionV>
                  <wp:extent cx="694690" cy="813435"/>
                  <wp:effectExtent l="0" t="0" r="6350" b="9525"/>
                  <wp:wrapNone/>
                  <wp:docPr id="67" name="图片_85"/>
                  <wp:cNvGraphicFramePr/>
                  <a:graphic xmlns:a="http://schemas.openxmlformats.org/drawingml/2006/main">
                    <a:graphicData uri="http://schemas.openxmlformats.org/drawingml/2006/picture">
                      <pic:pic xmlns:pic="http://schemas.openxmlformats.org/drawingml/2006/picture">
                        <pic:nvPicPr>
                          <pic:cNvPr id="67" name="图片_85"/>
                          <pic:cNvPicPr/>
                        </pic:nvPicPr>
                        <pic:blipFill>
                          <a:blip r:embed="rId17" cstate="print"/>
                          <a:stretch>
                            <a:fillRect/>
                          </a:stretch>
                        </pic:blipFill>
                        <pic:spPr>
                          <a:xfrm>
                            <a:off x="0" y="0"/>
                            <a:ext cx="694690" cy="813435"/>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2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6</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沙发                </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1380W*870D*850H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·优质西皮或巴西进口头层黄牛皮饰面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·四面抛光、烘干、除虫处理实木木架</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·锰钢蛇簧加平衡线处理，永不变形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·铁电镀沙发脚</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2336" behindDoc="0" locked="0" layoutInCell="1" allowOverlap="1">
                  <wp:simplePos x="0" y="0"/>
                  <wp:positionH relativeFrom="column">
                    <wp:posOffset>146050</wp:posOffset>
                  </wp:positionH>
                  <wp:positionV relativeFrom="paragraph">
                    <wp:posOffset>382270</wp:posOffset>
                  </wp:positionV>
                  <wp:extent cx="1181735" cy="806450"/>
                  <wp:effectExtent l="0" t="0" r="6985" b="1270"/>
                  <wp:wrapNone/>
                  <wp:docPr id="68" name="图片_22"/>
                  <wp:cNvGraphicFramePr/>
                  <a:graphic xmlns:a="http://schemas.openxmlformats.org/drawingml/2006/main">
                    <a:graphicData uri="http://schemas.openxmlformats.org/drawingml/2006/picture">
                      <pic:pic xmlns:pic="http://schemas.openxmlformats.org/drawingml/2006/picture">
                        <pic:nvPicPr>
                          <pic:cNvPr id="68" name="图片_22"/>
                          <pic:cNvPicPr/>
                        </pic:nvPicPr>
                        <pic:blipFill>
                          <a:blip r:embed="rId18" cstate="print"/>
                          <a:stretch>
                            <a:fillRect/>
                          </a:stretch>
                        </pic:blipFill>
                        <pic:spPr>
                          <a:xfrm>
                            <a:off x="0" y="0"/>
                            <a:ext cx="1181735" cy="8064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可接近办公台色系</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42"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7</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长茶几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1200W*600D*450H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1、面材：AAA级优质胡桃木皮饰面；                                                                                                                                                           2、基材：E1级国际环保密度纤维板，确保甲醛之排放达至安全水平；                                                                                                                                3、封边：与贴面相同的实木木材；                                                                                                                                                         4、油漆：采用优质PE底漆,德国PU面漆，符合欧洲环保要求；                                                                                                                                   5、五金配件：著名优质五金配件，不锈钢脚架。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3360" behindDoc="0" locked="0" layoutInCell="1" allowOverlap="1">
                  <wp:simplePos x="0" y="0"/>
                  <wp:positionH relativeFrom="column">
                    <wp:posOffset>248920</wp:posOffset>
                  </wp:positionH>
                  <wp:positionV relativeFrom="paragraph">
                    <wp:posOffset>90170</wp:posOffset>
                  </wp:positionV>
                  <wp:extent cx="892810" cy="605155"/>
                  <wp:effectExtent l="0" t="0" r="6350" b="4445"/>
                  <wp:wrapNone/>
                  <wp:docPr id="69" name="Picture_1557"/>
                  <wp:cNvGraphicFramePr/>
                  <a:graphic xmlns:a="http://schemas.openxmlformats.org/drawingml/2006/main">
                    <a:graphicData uri="http://schemas.openxmlformats.org/drawingml/2006/picture">
                      <pic:pic xmlns:pic="http://schemas.openxmlformats.org/drawingml/2006/picture">
                        <pic:nvPicPr>
                          <pic:cNvPr id="69" name="Picture_1557"/>
                          <pic:cNvPicPr/>
                        </pic:nvPicPr>
                        <pic:blipFill>
                          <a:blip r:embed="rId19" cstate="print"/>
                          <a:stretch>
                            <a:fillRect/>
                          </a:stretch>
                        </pic:blipFill>
                        <pic:spPr>
                          <a:xfrm>
                            <a:off x="0" y="0"/>
                            <a:ext cx="892810" cy="605155"/>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图片</w:t>
            </w:r>
            <w:r>
              <w:rPr>
                <w:rFonts w:hint="eastAsia" w:ascii="宋体" w:hAnsi="宋体" w:eastAsia="宋体" w:cs="宋体"/>
                <w:color w:val="000000"/>
                <w:sz w:val="15"/>
                <w:szCs w:val="15"/>
              </w:rPr>
              <w:t>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2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8</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办公桌</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2000W*1800D*760H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1、面材：AAA级优质胡桃木皮饰面；                                                                                                                                                           2、基材：E1级国际环保密度纤维板，确保甲醛之排放达至安全水平；                                                                                                                                3、封边：与贴面相同的实木木材；                                                                                                                                                         4、油漆：采用优质PE底漆,德国PU面漆，符合欧洲环保要求；                                                                                                                                   5、五金配件：著名优质五金配件.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4384" behindDoc="0" locked="0" layoutInCell="1" allowOverlap="1">
                  <wp:simplePos x="0" y="0"/>
                  <wp:positionH relativeFrom="column">
                    <wp:posOffset>20955</wp:posOffset>
                  </wp:positionH>
                  <wp:positionV relativeFrom="paragraph">
                    <wp:posOffset>381635</wp:posOffset>
                  </wp:positionV>
                  <wp:extent cx="895350" cy="781050"/>
                  <wp:effectExtent l="19050" t="0" r="0" b="0"/>
                  <wp:wrapNone/>
                  <wp:docPr id="70" name="图片_26"/>
                  <wp:cNvGraphicFramePr/>
                  <a:graphic xmlns:a="http://schemas.openxmlformats.org/drawingml/2006/main">
                    <a:graphicData uri="http://schemas.openxmlformats.org/drawingml/2006/picture">
                      <pic:pic xmlns:pic="http://schemas.openxmlformats.org/drawingml/2006/picture">
                        <pic:nvPicPr>
                          <pic:cNvPr id="70" name="图片_26"/>
                          <pic:cNvPicPr/>
                        </pic:nvPicPr>
                        <pic:blipFill>
                          <a:blip r:embed="rId13" cstate="print"/>
                          <a:stretch>
                            <a:fillRect/>
                          </a:stretch>
                        </pic:blipFill>
                        <pic:spPr>
                          <a:xfrm>
                            <a:off x="0" y="0"/>
                            <a:ext cx="895350" cy="7810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8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9</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文件柜</w:t>
            </w:r>
          </w:p>
        </w:tc>
        <w:tc>
          <w:tcPr>
            <w:tcW w:w="875" w:type="dxa"/>
            <w:tcBorders>
              <w:top w:val="nil"/>
              <w:left w:val="nil"/>
              <w:bottom w:val="nil"/>
              <w:right w:val="nil"/>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900W*400D*1800H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上玻中抽下铁 材料：厚度足0.8MM以上，铁须经过酸洗磷化。</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5408" behindDoc="0" locked="0" layoutInCell="1" allowOverlap="1">
                  <wp:simplePos x="0" y="0"/>
                  <wp:positionH relativeFrom="column">
                    <wp:posOffset>535305</wp:posOffset>
                  </wp:positionH>
                  <wp:positionV relativeFrom="paragraph">
                    <wp:posOffset>153035</wp:posOffset>
                  </wp:positionV>
                  <wp:extent cx="344170" cy="673100"/>
                  <wp:effectExtent l="0" t="0" r="6350" b="12700"/>
                  <wp:wrapNone/>
                  <wp:docPr id="71" name="图片_8_SpCnt_1"/>
                  <wp:cNvGraphicFramePr/>
                  <a:graphic xmlns:a="http://schemas.openxmlformats.org/drawingml/2006/main">
                    <a:graphicData uri="http://schemas.openxmlformats.org/drawingml/2006/picture">
                      <pic:pic xmlns:pic="http://schemas.openxmlformats.org/drawingml/2006/picture">
                        <pic:nvPicPr>
                          <pic:cNvPr id="71" name="图片_8_SpCnt_1"/>
                          <pic:cNvPicPr/>
                        </pic:nvPicPr>
                        <pic:blipFill>
                          <a:blip r:embed="rId20" cstate="print"/>
                          <a:stretch>
                            <a:fillRect/>
                          </a:stretch>
                        </pic:blipFill>
                        <pic:spPr>
                          <a:xfrm>
                            <a:off x="0" y="0"/>
                            <a:ext cx="344170" cy="67310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6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高背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Style w:val="67"/>
                <w:rFonts w:hint="default"/>
                <w:sz w:val="15"/>
                <w:szCs w:val="15"/>
              </w:rPr>
              <w:t>￭</w:t>
            </w:r>
            <w:r>
              <w:rPr>
                <w:rFonts w:hint="eastAsia" w:ascii="宋体" w:hAnsi="宋体" w:eastAsia="宋体" w:cs="宋体"/>
                <w:color w:val="000000"/>
                <w:sz w:val="15"/>
                <w:szCs w:val="15"/>
              </w:rPr>
              <w:t>黑色全新PP加纤背架升降头枕固定腰靠；</w:t>
            </w:r>
            <w:r>
              <w:rPr>
                <w:rStyle w:val="67"/>
                <w:rFonts w:hint="default"/>
                <w:sz w:val="15"/>
                <w:szCs w:val="15"/>
              </w:rPr>
              <w:t>￭</w:t>
            </w:r>
            <w:r>
              <w:rPr>
                <w:rFonts w:hint="eastAsia" w:ascii="宋体" w:hAnsi="宋体" w:eastAsia="宋体" w:cs="宋体"/>
                <w:color w:val="000000"/>
                <w:sz w:val="15"/>
                <w:szCs w:val="15"/>
              </w:rPr>
              <w:t>黑色固定PP加玻纤扶手；</w:t>
            </w:r>
            <w:r>
              <w:rPr>
                <w:rStyle w:val="67"/>
                <w:rFonts w:hint="default"/>
                <w:sz w:val="15"/>
                <w:szCs w:val="15"/>
              </w:rPr>
              <w:t>￭</w:t>
            </w:r>
            <w:r>
              <w:rPr>
                <w:rFonts w:hint="eastAsia" w:ascii="宋体" w:hAnsi="宋体" w:eastAsia="宋体" w:cs="宋体"/>
                <w:color w:val="000000"/>
                <w:sz w:val="15"/>
                <w:szCs w:val="15"/>
              </w:rPr>
              <w:t>25MM逍遥带锁定底盘；</w:t>
            </w:r>
            <w:r>
              <w:rPr>
                <w:rStyle w:val="67"/>
                <w:rFonts w:hint="default"/>
                <w:sz w:val="15"/>
                <w:szCs w:val="15"/>
              </w:rPr>
              <w:t>￭</w:t>
            </w:r>
            <w:r>
              <w:rPr>
                <w:rFonts w:hint="eastAsia" w:ascii="宋体" w:hAnsi="宋体" w:eastAsia="宋体" w:cs="宋体"/>
                <w:color w:val="000000"/>
                <w:sz w:val="15"/>
                <w:szCs w:val="15"/>
              </w:rPr>
              <w:t>50密高回弹定型海绵配座壳；</w:t>
            </w:r>
            <w:r>
              <w:rPr>
                <w:rStyle w:val="67"/>
                <w:rFonts w:hint="default"/>
                <w:sz w:val="15"/>
                <w:szCs w:val="15"/>
              </w:rPr>
              <w:t>￭</w:t>
            </w:r>
            <w:r>
              <w:rPr>
                <w:rFonts w:hint="eastAsia" w:ascii="宋体" w:hAnsi="宋体" w:eastAsia="宋体" w:cs="宋体"/>
                <w:color w:val="000000"/>
                <w:sz w:val="15"/>
                <w:szCs w:val="15"/>
              </w:rPr>
              <w:t>韩进口不含金属亲肤面料配弹力厚网；</w:t>
            </w:r>
            <w:r>
              <w:rPr>
                <w:rStyle w:val="67"/>
                <w:rFonts w:hint="default"/>
                <w:sz w:val="15"/>
                <w:szCs w:val="15"/>
              </w:rPr>
              <w:t>￭</w:t>
            </w:r>
            <w:r>
              <w:rPr>
                <w:rFonts w:hint="eastAsia" w:ascii="宋体" w:hAnsi="宋体" w:eastAsia="宋体" w:cs="宋体"/>
                <w:color w:val="000000"/>
                <w:sz w:val="15"/>
                <w:szCs w:val="15"/>
              </w:rPr>
              <w:t>65形成电度气杆；</w:t>
            </w:r>
            <w:r>
              <w:rPr>
                <w:rStyle w:val="67"/>
                <w:rFonts w:hint="default"/>
                <w:sz w:val="15"/>
                <w:szCs w:val="15"/>
              </w:rPr>
              <w:t>￭</w:t>
            </w:r>
            <w:r>
              <w:rPr>
                <w:rFonts w:hint="eastAsia" w:ascii="宋体" w:hAnsi="宋体" w:eastAsia="宋体" w:cs="宋体"/>
                <w:color w:val="000000"/>
                <w:sz w:val="15"/>
                <w:szCs w:val="15"/>
              </w:rPr>
              <w:t>ADC12铝合金五星脚承受力1136KG；</w:t>
            </w:r>
            <w:r>
              <w:rPr>
                <w:rStyle w:val="67"/>
                <w:rFonts w:hint="default"/>
                <w:sz w:val="15"/>
                <w:szCs w:val="15"/>
              </w:rPr>
              <w:t>￭</w:t>
            </w:r>
            <w:r>
              <w:rPr>
                <w:rFonts w:hint="eastAsia" w:ascii="宋体" w:hAnsi="宋体" w:eastAsia="宋体" w:cs="宋体"/>
                <w:color w:val="000000"/>
                <w:sz w:val="15"/>
                <w:szCs w:val="15"/>
              </w:rPr>
              <w:t>（PA）加强尼龙活动轮</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6432" behindDoc="0" locked="0" layoutInCell="1" allowOverlap="1">
                  <wp:simplePos x="0" y="0"/>
                  <wp:positionH relativeFrom="column">
                    <wp:posOffset>454025</wp:posOffset>
                  </wp:positionH>
                  <wp:positionV relativeFrom="paragraph">
                    <wp:posOffset>290830</wp:posOffset>
                  </wp:positionV>
                  <wp:extent cx="511175" cy="830580"/>
                  <wp:effectExtent l="0" t="0" r="6985" b="7620"/>
                  <wp:wrapNone/>
                  <wp:docPr id="72" name="图片_49"/>
                  <wp:cNvGraphicFramePr/>
                  <a:graphic xmlns:a="http://schemas.openxmlformats.org/drawingml/2006/main">
                    <a:graphicData uri="http://schemas.openxmlformats.org/drawingml/2006/picture">
                      <pic:pic xmlns:pic="http://schemas.openxmlformats.org/drawingml/2006/picture">
                        <pic:nvPicPr>
                          <pic:cNvPr id="72" name="图片_49"/>
                          <pic:cNvPicPr/>
                        </pic:nvPicPr>
                        <pic:blipFill>
                          <a:blip r:embed="rId21" cstate="print"/>
                          <a:stretch>
                            <a:fillRect/>
                          </a:stretch>
                        </pic:blipFill>
                        <pic:spPr>
                          <a:xfrm>
                            <a:off x="0" y="0"/>
                            <a:ext cx="511175" cy="83058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班前椅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中背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22</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Style w:val="67"/>
                <w:rFonts w:hint="default"/>
                <w:sz w:val="15"/>
                <w:szCs w:val="15"/>
              </w:rPr>
              <w:t>￭</w:t>
            </w:r>
            <w:r>
              <w:rPr>
                <w:rFonts w:hint="eastAsia" w:ascii="宋体" w:hAnsi="宋体" w:eastAsia="宋体" w:cs="宋体"/>
                <w:color w:val="000000"/>
                <w:sz w:val="15"/>
                <w:szCs w:val="15"/>
              </w:rPr>
              <w:t>黑色全新PP加纤背架升降头枕固定腰靠；</w:t>
            </w:r>
            <w:r>
              <w:rPr>
                <w:rStyle w:val="67"/>
                <w:rFonts w:hint="default"/>
                <w:sz w:val="15"/>
                <w:szCs w:val="15"/>
              </w:rPr>
              <w:t>￭</w:t>
            </w:r>
            <w:r>
              <w:rPr>
                <w:rFonts w:hint="eastAsia" w:ascii="宋体" w:hAnsi="宋体" w:eastAsia="宋体" w:cs="宋体"/>
                <w:color w:val="000000"/>
                <w:sz w:val="15"/>
                <w:szCs w:val="15"/>
              </w:rPr>
              <w:t>黑色固定PP加玻纤扶手；</w:t>
            </w:r>
            <w:r>
              <w:rPr>
                <w:rStyle w:val="67"/>
                <w:rFonts w:hint="default"/>
                <w:sz w:val="15"/>
                <w:szCs w:val="15"/>
              </w:rPr>
              <w:t>￭</w:t>
            </w:r>
            <w:r>
              <w:rPr>
                <w:rFonts w:hint="eastAsia" w:ascii="宋体" w:hAnsi="宋体" w:eastAsia="宋体" w:cs="宋体"/>
                <w:color w:val="000000"/>
                <w:sz w:val="15"/>
                <w:szCs w:val="15"/>
              </w:rPr>
              <w:t>25MM逍遥带锁定底盘；</w:t>
            </w:r>
            <w:r>
              <w:rPr>
                <w:rStyle w:val="67"/>
                <w:rFonts w:hint="default"/>
                <w:sz w:val="15"/>
                <w:szCs w:val="15"/>
              </w:rPr>
              <w:t>￭</w:t>
            </w:r>
            <w:r>
              <w:rPr>
                <w:rFonts w:hint="eastAsia" w:ascii="宋体" w:hAnsi="宋体" w:eastAsia="宋体" w:cs="宋体"/>
                <w:color w:val="000000"/>
                <w:sz w:val="15"/>
                <w:szCs w:val="15"/>
              </w:rPr>
              <w:t>50密高回弹定型海绵配座壳；</w:t>
            </w:r>
            <w:r>
              <w:rPr>
                <w:rStyle w:val="67"/>
                <w:rFonts w:hint="default"/>
                <w:sz w:val="15"/>
                <w:szCs w:val="15"/>
              </w:rPr>
              <w:t>￭</w:t>
            </w:r>
            <w:r>
              <w:rPr>
                <w:rFonts w:hint="eastAsia" w:ascii="宋体" w:hAnsi="宋体" w:eastAsia="宋体" w:cs="宋体"/>
                <w:color w:val="000000"/>
                <w:sz w:val="15"/>
                <w:szCs w:val="15"/>
              </w:rPr>
              <w:t>韩国进口不含金属亲肤面料配弹力厚网；</w:t>
            </w:r>
            <w:r>
              <w:rPr>
                <w:rStyle w:val="67"/>
                <w:rFonts w:hint="default"/>
                <w:sz w:val="15"/>
                <w:szCs w:val="15"/>
              </w:rPr>
              <w:t>￭</w:t>
            </w:r>
            <w:r>
              <w:rPr>
                <w:rFonts w:hint="eastAsia" w:ascii="宋体" w:hAnsi="宋体" w:eastAsia="宋体" w:cs="宋体"/>
                <w:color w:val="000000"/>
                <w:sz w:val="15"/>
                <w:szCs w:val="15"/>
              </w:rPr>
              <w:t>65形成电度气杆；</w:t>
            </w:r>
            <w:r>
              <w:rPr>
                <w:rStyle w:val="67"/>
                <w:rFonts w:hint="default"/>
                <w:sz w:val="15"/>
                <w:szCs w:val="15"/>
              </w:rPr>
              <w:t>￭</w:t>
            </w:r>
            <w:r>
              <w:rPr>
                <w:rFonts w:hint="eastAsia" w:ascii="宋体" w:hAnsi="宋体" w:eastAsia="宋体" w:cs="宋体"/>
                <w:color w:val="000000"/>
                <w:sz w:val="15"/>
                <w:szCs w:val="15"/>
              </w:rPr>
              <w:t>ADC12铝合金五星脚承受力1137KG；</w:t>
            </w:r>
            <w:r>
              <w:rPr>
                <w:rStyle w:val="67"/>
                <w:rFonts w:hint="default"/>
                <w:sz w:val="15"/>
                <w:szCs w:val="15"/>
              </w:rPr>
              <w:t>￭</w:t>
            </w:r>
            <w:r>
              <w:rPr>
                <w:rFonts w:hint="eastAsia" w:ascii="宋体" w:hAnsi="宋体" w:eastAsia="宋体" w:cs="宋体"/>
                <w:color w:val="000000"/>
                <w:sz w:val="15"/>
                <w:szCs w:val="15"/>
              </w:rPr>
              <w:t xml:space="preserve">（PA）加强尼龙活动轮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7456" behindDoc="0" locked="0" layoutInCell="1" allowOverlap="1">
                  <wp:simplePos x="0" y="0"/>
                  <wp:positionH relativeFrom="column">
                    <wp:posOffset>443230</wp:posOffset>
                  </wp:positionH>
                  <wp:positionV relativeFrom="paragraph">
                    <wp:posOffset>368935</wp:posOffset>
                  </wp:positionV>
                  <wp:extent cx="511810" cy="735965"/>
                  <wp:effectExtent l="0" t="0" r="6350" b="10795"/>
                  <wp:wrapNone/>
                  <wp:docPr id="73" name="图片_51"/>
                  <wp:cNvGraphicFramePr/>
                  <a:graphic xmlns:a="http://schemas.openxmlformats.org/drawingml/2006/main">
                    <a:graphicData uri="http://schemas.openxmlformats.org/drawingml/2006/picture">
                      <pic:pic xmlns:pic="http://schemas.openxmlformats.org/drawingml/2006/picture">
                        <pic:nvPicPr>
                          <pic:cNvPr id="73" name="图片_51"/>
                          <pic:cNvPicPr/>
                        </pic:nvPicPr>
                        <pic:blipFill>
                          <a:blip r:embed="rId22" cstate="print"/>
                          <a:stretch>
                            <a:fillRect/>
                          </a:stretch>
                        </pic:blipFill>
                        <pic:spPr>
                          <a:xfrm>
                            <a:off x="0" y="0"/>
                            <a:ext cx="511810" cy="735965"/>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6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沙发                </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1320W*810D*710H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·优质西皮或巴西进口头层黄牛皮饰面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·四面抛光、烘干、除虫处理实木木架</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·锰钢蛇簧加平衡线处理，永不变形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 xml:space="preserve">·不锈钢沙发脚架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8480" behindDoc="0" locked="0" layoutInCell="1" allowOverlap="1">
                  <wp:simplePos x="0" y="0"/>
                  <wp:positionH relativeFrom="column">
                    <wp:posOffset>114300</wp:posOffset>
                  </wp:positionH>
                  <wp:positionV relativeFrom="paragraph">
                    <wp:posOffset>307340</wp:posOffset>
                  </wp:positionV>
                  <wp:extent cx="1181735" cy="806450"/>
                  <wp:effectExtent l="0" t="0" r="6985" b="1270"/>
                  <wp:wrapNone/>
                  <wp:docPr id="74" name="图片_54"/>
                  <wp:cNvGraphicFramePr/>
                  <a:graphic xmlns:a="http://schemas.openxmlformats.org/drawingml/2006/main">
                    <a:graphicData uri="http://schemas.openxmlformats.org/drawingml/2006/picture">
                      <pic:pic xmlns:pic="http://schemas.openxmlformats.org/drawingml/2006/picture">
                        <pic:nvPicPr>
                          <pic:cNvPr id="74" name="图片_54"/>
                          <pic:cNvPicPr/>
                        </pic:nvPicPr>
                        <pic:blipFill>
                          <a:blip r:embed="rId18" cstate="print"/>
                          <a:stretch>
                            <a:fillRect/>
                          </a:stretch>
                        </pic:blipFill>
                        <pic:spPr>
                          <a:xfrm>
                            <a:off x="0" y="0"/>
                            <a:ext cx="1181735" cy="8064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待定，可接近办公台色系</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6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13</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长茶几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1200W*600D*450H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1、面材：AAA级优质胡桃木皮饰面；                                                                                                                                                           2、基材：E1级国际环保密度纤维板，确保甲醛之排放达至安全水平；                                                                                                                                3、封边：与贴面相同的实木木材；                                                                                                                                                         4、油漆：采用优质PE底漆,德国PU面漆，符合欧洲环保要求；                                                                                                                                   5、五金配件：著名优质五金配件，不锈钢脚架。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69504" behindDoc="0" locked="0" layoutInCell="1" allowOverlap="1">
                  <wp:simplePos x="0" y="0"/>
                  <wp:positionH relativeFrom="column">
                    <wp:posOffset>407670</wp:posOffset>
                  </wp:positionH>
                  <wp:positionV relativeFrom="paragraph">
                    <wp:posOffset>123190</wp:posOffset>
                  </wp:positionV>
                  <wp:extent cx="892810" cy="605155"/>
                  <wp:effectExtent l="0" t="0" r="6350" b="4445"/>
                  <wp:wrapNone/>
                  <wp:docPr id="75" name="Picture_1557_SpCnt_1"/>
                  <wp:cNvGraphicFramePr/>
                  <a:graphic xmlns:a="http://schemas.openxmlformats.org/drawingml/2006/main">
                    <a:graphicData uri="http://schemas.openxmlformats.org/drawingml/2006/picture">
                      <pic:pic xmlns:pic="http://schemas.openxmlformats.org/drawingml/2006/picture">
                        <pic:nvPicPr>
                          <pic:cNvPr id="75" name="Picture_1557_SpCnt_1"/>
                          <pic:cNvPicPr/>
                        </pic:nvPicPr>
                        <pic:blipFill>
                          <a:blip r:embed="rId23" cstate="print"/>
                          <a:stretch>
                            <a:fillRect/>
                          </a:stretch>
                        </pic:blipFill>
                        <pic:spPr>
                          <a:xfrm>
                            <a:off x="0" y="0"/>
                            <a:ext cx="892810" cy="605155"/>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图片</w:t>
            </w:r>
            <w:r>
              <w:rPr>
                <w:rFonts w:hint="eastAsia" w:ascii="宋体" w:hAnsi="宋体" w:eastAsia="宋体" w:cs="宋体"/>
                <w:color w:val="000000"/>
                <w:sz w:val="15"/>
                <w:szCs w:val="15"/>
              </w:rPr>
              <w:t>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00" w:hRule="atLeast"/>
        </w:trPr>
        <w:tc>
          <w:tcPr>
            <w:tcW w:w="438" w:type="dxa"/>
            <w:tcBorders>
              <w:top w:val="nil"/>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14</w:t>
            </w:r>
          </w:p>
        </w:tc>
        <w:tc>
          <w:tcPr>
            <w:tcW w:w="43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办公桌</w:t>
            </w:r>
          </w:p>
        </w:tc>
        <w:tc>
          <w:tcPr>
            <w:tcW w:w="87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每位1400W*600D*750H                  具体看深化图           （六位一组）</w:t>
            </w:r>
          </w:p>
        </w:tc>
        <w:tc>
          <w:tcPr>
            <w:tcW w:w="40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nil"/>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23</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1.台面板：采用环保板基材，优质PVC封边，都达E1级环保标准；</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2.进口三聚氰饰面纸贴面，纹理自然高档、防污、耐冲击、耐磨损、耐磨性强，具备一定的阻燃作用。</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3.屏风主体框架：全新铝型材框架，A柱厚度1.2mm，表面阳极氧化处理，线槽板可独立拆分，便以安装弱电系统；</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4.五金配件：优质五金配件，优质冷轧钢基材，均经过酸洗、磷洗等防锈处理；</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0528" behindDoc="0" locked="0" layoutInCell="1" allowOverlap="1">
                  <wp:simplePos x="0" y="0"/>
                  <wp:positionH relativeFrom="column">
                    <wp:posOffset>78105</wp:posOffset>
                  </wp:positionH>
                  <wp:positionV relativeFrom="paragraph">
                    <wp:posOffset>483235</wp:posOffset>
                  </wp:positionV>
                  <wp:extent cx="1047750" cy="666750"/>
                  <wp:effectExtent l="19050" t="0" r="0" b="0"/>
                  <wp:wrapNone/>
                  <wp:docPr id="76" name="图片_47"/>
                  <wp:cNvGraphicFramePr/>
                  <a:graphic xmlns:a="http://schemas.openxmlformats.org/drawingml/2006/main">
                    <a:graphicData uri="http://schemas.openxmlformats.org/drawingml/2006/picture">
                      <pic:pic xmlns:pic="http://schemas.openxmlformats.org/drawingml/2006/picture">
                        <pic:nvPicPr>
                          <pic:cNvPr id="76" name="图片_47"/>
                          <pic:cNvPicPr/>
                        </pic:nvPicPr>
                        <pic:blipFill>
                          <a:blip r:embed="rId24" cstate="print"/>
                          <a:stretch>
                            <a:fillRect/>
                          </a:stretch>
                        </pic:blipFill>
                        <pic:spPr>
                          <a:xfrm>
                            <a:off x="0" y="0"/>
                            <a:ext cx="1047750" cy="6667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白色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0" w:hRule="atLeast"/>
        </w:trPr>
        <w:tc>
          <w:tcPr>
            <w:tcW w:w="438" w:type="dxa"/>
            <w:tcBorders>
              <w:top w:val="nil"/>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15</w:t>
            </w:r>
          </w:p>
        </w:tc>
        <w:tc>
          <w:tcPr>
            <w:tcW w:w="43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办公桌</w:t>
            </w:r>
          </w:p>
        </w:tc>
        <w:tc>
          <w:tcPr>
            <w:tcW w:w="87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每位1400W*600D*750H                  具体看深化图           （四位一组）</w:t>
            </w:r>
          </w:p>
        </w:tc>
        <w:tc>
          <w:tcPr>
            <w:tcW w:w="40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nil"/>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19</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1.台面板：采用环保板基材，优质PVC封边，都达E1级环保标准；</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2.进口三聚氰饰面纸贴面，纹理自然高档、防污、耐冲击、耐磨损、耐磨性强，具备一定的阻燃作用。</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3.屏风主体框架：全新铝型材框架，A柱厚度1.2mm，表面阳极氧化处理，线槽板可独立拆分，便以安装弱电系统；</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4.五金配件：优质五金配件，优质冷轧钢基材，均经过酸洗、磷洗等防锈处理；</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1552" behindDoc="0" locked="0" layoutInCell="1" allowOverlap="1">
                  <wp:simplePos x="0" y="0"/>
                  <wp:positionH relativeFrom="column">
                    <wp:posOffset>78105</wp:posOffset>
                  </wp:positionH>
                  <wp:positionV relativeFrom="paragraph">
                    <wp:posOffset>528320</wp:posOffset>
                  </wp:positionV>
                  <wp:extent cx="984250" cy="626110"/>
                  <wp:effectExtent l="19050" t="0" r="6350" b="0"/>
                  <wp:wrapNone/>
                  <wp:docPr id="77" name="图片_17"/>
                  <wp:cNvGraphicFramePr/>
                  <a:graphic xmlns:a="http://schemas.openxmlformats.org/drawingml/2006/main">
                    <a:graphicData uri="http://schemas.openxmlformats.org/drawingml/2006/picture">
                      <pic:pic xmlns:pic="http://schemas.openxmlformats.org/drawingml/2006/picture">
                        <pic:nvPicPr>
                          <pic:cNvPr id="77" name="图片_17"/>
                          <pic:cNvPicPr/>
                        </pic:nvPicPr>
                        <pic:blipFill>
                          <a:blip r:embed="rId25" cstate="print"/>
                          <a:stretch>
                            <a:fillRect/>
                          </a:stretch>
                        </pic:blipFill>
                        <pic:spPr>
                          <a:xfrm>
                            <a:off x="0" y="0"/>
                            <a:ext cx="984250" cy="62611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白色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60" w:hRule="atLeast"/>
        </w:trPr>
        <w:tc>
          <w:tcPr>
            <w:tcW w:w="438" w:type="dxa"/>
            <w:tcBorders>
              <w:top w:val="nil"/>
              <w:bottom w:val="single" w:color="auto"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16</w:t>
            </w:r>
          </w:p>
        </w:tc>
        <w:tc>
          <w:tcPr>
            <w:tcW w:w="439" w:type="dxa"/>
            <w:tcBorders>
              <w:top w:val="nil"/>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办公桌</w:t>
            </w:r>
          </w:p>
        </w:tc>
        <w:tc>
          <w:tcPr>
            <w:tcW w:w="875" w:type="dxa"/>
            <w:tcBorders>
              <w:top w:val="nil"/>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每位1400W*600D*750H                  具体看深化图           （两位一组）</w:t>
            </w:r>
          </w:p>
        </w:tc>
        <w:tc>
          <w:tcPr>
            <w:tcW w:w="409" w:type="dxa"/>
            <w:tcBorders>
              <w:top w:val="nil"/>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nil"/>
              <w:left w:val="single" w:color="000000" w:sz="4" w:space="0"/>
              <w:bottom w:val="single" w:color="auto"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1.台面板：采用环保板基材，优质PVC封边，都达E1级环保标准；</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2.进口三聚氰饰面纸贴面，纹理自然高档、防污、耐冲击、耐磨损、耐磨性强，具备一定的阻燃作用。</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3.屏风主体框架：全新铝型材框架，A柱厚度1.2mm，表面阳极氧化处理，线槽板可独立拆分，便以安装弱电系统；</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4.五金配件：优质五金配件，优质冷轧钢基材，均经过酸洗、磷洗等防锈处理；</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2576" behindDoc="0" locked="0" layoutInCell="1" allowOverlap="1">
                  <wp:simplePos x="0" y="0"/>
                  <wp:positionH relativeFrom="column">
                    <wp:posOffset>23495</wp:posOffset>
                  </wp:positionH>
                  <wp:positionV relativeFrom="paragraph">
                    <wp:posOffset>306705</wp:posOffset>
                  </wp:positionV>
                  <wp:extent cx="1111250" cy="704850"/>
                  <wp:effectExtent l="19050" t="0" r="0" b="0"/>
                  <wp:wrapNone/>
                  <wp:docPr id="78" name="图片_18"/>
                  <wp:cNvGraphicFramePr/>
                  <a:graphic xmlns:a="http://schemas.openxmlformats.org/drawingml/2006/main">
                    <a:graphicData uri="http://schemas.openxmlformats.org/drawingml/2006/picture">
                      <pic:pic xmlns:pic="http://schemas.openxmlformats.org/drawingml/2006/picture">
                        <pic:nvPicPr>
                          <pic:cNvPr id="78" name="图片_18"/>
                          <pic:cNvPicPr/>
                        </pic:nvPicPr>
                        <pic:blipFill>
                          <a:blip r:embed="rId25" cstate="print"/>
                          <a:stretch>
                            <a:fillRect/>
                          </a:stretch>
                        </pic:blipFill>
                        <pic:spPr>
                          <a:xfrm>
                            <a:off x="0" y="0"/>
                            <a:ext cx="1111250" cy="70485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20" w:hRule="atLeast"/>
        </w:trPr>
        <w:tc>
          <w:tcPr>
            <w:tcW w:w="438" w:type="dxa"/>
            <w:tcBorders>
              <w:top w:val="single" w:color="auto" w:sz="4" w:space="0"/>
              <w:bottom w:val="single" w:color="auto"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17</w:t>
            </w:r>
          </w:p>
        </w:tc>
        <w:tc>
          <w:tcPr>
            <w:tcW w:w="43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办公桌</w:t>
            </w:r>
          </w:p>
        </w:tc>
        <w:tc>
          <w:tcPr>
            <w:tcW w:w="87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2400W*1200D*750H                  具体看深化图 </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(4位一张）</w:t>
            </w:r>
          </w:p>
        </w:tc>
        <w:tc>
          <w:tcPr>
            <w:tcW w:w="40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26</w:t>
            </w:r>
          </w:p>
        </w:tc>
        <w:tc>
          <w:tcPr>
            <w:tcW w:w="3252"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1.台面板：采用环保板基材，优质PVC封边，都达E1级环保标准；</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2.脚架：钢脚架，采用高温静电吸附粉末涂层喷涂工艺，台架每平方承重达到100kg以上，桌面及整体不变形；                                                                                                        3.结构：台面居中靠桌屏处开一圆形过线孔 ，下面配网格线槽和龙骨线缆管过线;                                                                                                                           4.网格线槽：优质冷轧钢板，表面氧化银色喷涂；5.龙骨软线管：ABS塑料材质；</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3600" behindDoc="0" locked="0" layoutInCell="1" allowOverlap="1">
                  <wp:simplePos x="0" y="0"/>
                  <wp:positionH relativeFrom="column">
                    <wp:posOffset>33655</wp:posOffset>
                  </wp:positionH>
                  <wp:positionV relativeFrom="paragraph">
                    <wp:posOffset>570230</wp:posOffset>
                  </wp:positionV>
                  <wp:extent cx="1149350" cy="850900"/>
                  <wp:effectExtent l="19050" t="0" r="0" b="0"/>
                  <wp:wrapNone/>
                  <wp:docPr id="79" name="图片_56"/>
                  <wp:cNvGraphicFramePr/>
                  <a:graphic xmlns:a="http://schemas.openxmlformats.org/drawingml/2006/main">
                    <a:graphicData uri="http://schemas.openxmlformats.org/drawingml/2006/picture">
                      <pic:pic xmlns:pic="http://schemas.openxmlformats.org/drawingml/2006/picture">
                        <pic:nvPicPr>
                          <pic:cNvPr id="79" name="图片_56"/>
                          <pic:cNvPicPr/>
                        </pic:nvPicPr>
                        <pic:blipFill>
                          <a:blip r:embed="rId26" cstate="print"/>
                          <a:stretch>
                            <a:fillRect/>
                          </a:stretch>
                        </pic:blipFill>
                        <pic:spPr>
                          <a:xfrm>
                            <a:off x="0" y="0"/>
                            <a:ext cx="1149350" cy="85090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木纹色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0" w:hRule="atLeast"/>
        </w:trPr>
        <w:tc>
          <w:tcPr>
            <w:tcW w:w="438" w:type="dxa"/>
            <w:tcBorders>
              <w:top w:val="single" w:color="auto"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18</w:t>
            </w:r>
          </w:p>
        </w:tc>
        <w:tc>
          <w:tcPr>
            <w:tcW w:w="43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办公椅</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常规</w:t>
            </w:r>
          </w:p>
        </w:tc>
        <w:tc>
          <w:tcPr>
            <w:tcW w:w="40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320</w:t>
            </w:r>
          </w:p>
        </w:tc>
        <w:tc>
          <w:tcPr>
            <w:tcW w:w="3252" w:type="dxa"/>
            <w:tcBorders>
              <w:top w:val="nil"/>
              <w:left w:val="single" w:color="000000" w:sz="4" w:space="0"/>
              <w:bottom w:val="nil"/>
              <w:right w:val="single" w:color="000000" w:sz="4" w:space="0"/>
            </w:tcBorders>
            <w:shd w:val="clear" w:color="auto" w:fill="auto"/>
            <w:vAlign w:val="center"/>
          </w:tcPr>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黑色PP料背架，带固定腰靠 </w:t>
            </w:r>
          </w:p>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高回弹中软切割海绵  </w:t>
            </w:r>
          </w:p>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中班蝴蝶底盘带原位锁定 </w:t>
            </w:r>
          </w:p>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PP连体固定扶手</w:t>
            </w:r>
          </w:p>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85#沉口4公分黑色汽杆</w:t>
            </w:r>
          </w:p>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∮320尼龙高脚    </w:t>
            </w:r>
          </w:p>
          <w:p>
            <w:pPr>
              <w:spacing w:line="240" w:lineRule="auto"/>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φ50MM黑色尼龙轮</w:t>
            </w:r>
          </w:p>
          <w:p>
            <w:pPr>
              <w:spacing w:line="240" w:lineRule="auto"/>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highlight w:val="yellow"/>
              </w:rPr>
              <w:t>（需要提供报价产品样板）</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4624" behindDoc="0" locked="0" layoutInCell="1" allowOverlap="1">
                  <wp:simplePos x="0" y="0"/>
                  <wp:positionH relativeFrom="column">
                    <wp:posOffset>319405</wp:posOffset>
                  </wp:positionH>
                  <wp:positionV relativeFrom="paragraph">
                    <wp:posOffset>205740</wp:posOffset>
                  </wp:positionV>
                  <wp:extent cx="758190" cy="1016000"/>
                  <wp:effectExtent l="19050" t="0" r="3810" b="0"/>
                  <wp:wrapNone/>
                  <wp:docPr id="80" name="图片_24"/>
                  <wp:cNvGraphicFramePr/>
                  <a:graphic xmlns:a="http://schemas.openxmlformats.org/drawingml/2006/main">
                    <a:graphicData uri="http://schemas.openxmlformats.org/drawingml/2006/picture">
                      <pic:pic xmlns:pic="http://schemas.openxmlformats.org/drawingml/2006/picture">
                        <pic:nvPicPr>
                          <pic:cNvPr id="80" name="图片_24"/>
                          <pic:cNvPicPr/>
                        </pic:nvPicPr>
                        <pic:blipFill>
                          <a:blip r:embed="rId27" cstate="print"/>
                          <a:stretch>
                            <a:fillRect/>
                          </a:stretch>
                        </pic:blipFill>
                        <pic:spPr>
                          <a:xfrm>
                            <a:off x="0" y="0"/>
                            <a:ext cx="758190" cy="101600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4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19</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会议桌</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5600*2000*750H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8</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1、面材：AAA级优质胡桃木皮饰面；                                                                                                                                                           2、基材：E1级国际环保密度纤维板，确保甲醛之排放达至安全水平；                                                                                                                                3、封边：与贴面相同的实木木材；                                                                                                                                                         4、油漆：采用优质PE底漆,德国PU面漆，符合欧洲环保要求；                                                                                                                                   5、五金配件：著名优质五金配件.</w:t>
            </w:r>
          </w:p>
        </w:tc>
        <w:tc>
          <w:tcPr>
            <w:tcW w:w="2199"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5648" behindDoc="0" locked="0" layoutInCell="1" allowOverlap="1">
                  <wp:simplePos x="0" y="0"/>
                  <wp:positionH relativeFrom="column">
                    <wp:posOffset>8255</wp:posOffset>
                  </wp:positionH>
                  <wp:positionV relativeFrom="paragraph">
                    <wp:posOffset>230505</wp:posOffset>
                  </wp:positionV>
                  <wp:extent cx="1093470" cy="1093470"/>
                  <wp:effectExtent l="19050" t="0" r="0" b="0"/>
                  <wp:wrapNone/>
                  <wp:docPr id="81" name="Picture_7"/>
                  <wp:cNvGraphicFramePr/>
                  <a:graphic xmlns:a="http://schemas.openxmlformats.org/drawingml/2006/main">
                    <a:graphicData uri="http://schemas.openxmlformats.org/drawingml/2006/picture">
                      <pic:pic xmlns:pic="http://schemas.openxmlformats.org/drawingml/2006/picture">
                        <pic:nvPicPr>
                          <pic:cNvPr id="81" name="Picture_7"/>
                          <pic:cNvPicPr/>
                        </pic:nvPicPr>
                        <pic:blipFill>
                          <a:blip r:embed="rId28" cstate="print"/>
                          <a:stretch>
                            <a:fillRect/>
                          </a:stretch>
                        </pic:blipFill>
                        <pic:spPr>
                          <a:xfrm>
                            <a:off x="0" y="0"/>
                            <a:ext cx="1093470" cy="109347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2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会议椅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615W*590D*920H</w:t>
            </w:r>
            <w:r>
              <w:rPr>
                <w:rFonts w:hint="eastAsia" w:ascii="宋体" w:hAnsi="宋体" w:eastAsia="宋体" w:cs="宋体"/>
                <w:b/>
                <w:bCs/>
                <w:color w:val="000000"/>
                <w:sz w:val="15"/>
                <w:szCs w:val="15"/>
              </w:rPr>
              <w:t xml:space="preserve"> </w:t>
            </w:r>
            <w:r>
              <w:rPr>
                <w:rFonts w:hint="eastAsia" w:ascii="宋体" w:hAnsi="宋体" w:eastAsia="宋体" w:cs="宋体"/>
                <w:color w:val="000000"/>
                <w:sz w:val="15"/>
                <w:szCs w:val="15"/>
              </w:rPr>
              <w:t xml:space="preserve">                              颜色可选</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160</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·黑色PP料背架</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·PP分体固定扶手</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·25管1.8厚黑色烤漆弓形架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6672" behindDoc="0" locked="0" layoutInCell="1" allowOverlap="1">
                  <wp:simplePos x="0" y="0"/>
                  <wp:positionH relativeFrom="column">
                    <wp:posOffset>422910</wp:posOffset>
                  </wp:positionH>
                  <wp:positionV relativeFrom="paragraph">
                    <wp:posOffset>260985</wp:posOffset>
                  </wp:positionV>
                  <wp:extent cx="575310" cy="772160"/>
                  <wp:effectExtent l="0" t="0" r="3810" b="5080"/>
                  <wp:wrapNone/>
                  <wp:docPr id="82" name="图片_41"/>
                  <wp:cNvGraphicFramePr/>
                  <a:graphic xmlns:a="http://schemas.openxmlformats.org/drawingml/2006/main">
                    <a:graphicData uri="http://schemas.openxmlformats.org/drawingml/2006/picture">
                      <pic:pic xmlns:pic="http://schemas.openxmlformats.org/drawingml/2006/picture">
                        <pic:nvPicPr>
                          <pic:cNvPr id="82" name="图片_41"/>
                          <pic:cNvPicPr/>
                        </pic:nvPicPr>
                        <pic:blipFill>
                          <a:blip r:embed="rId29" cstate="print"/>
                          <a:stretch>
                            <a:fillRect/>
                          </a:stretch>
                        </pic:blipFill>
                        <pic:spPr>
                          <a:xfrm>
                            <a:off x="0" y="0"/>
                            <a:ext cx="575310" cy="77216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2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会议桌</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5500*2000*750H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1、面材：AAA级优质胡桃木皮饰面；                                                                                                                                                           2、基材：E1级国际环保密度纤维板，确保甲醛之排放达至安全水平；                                                                                                                                3、封边：与贴面相同的实木木材；                                                                                                                                                         4、油漆：采用优质PE底漆,德国PU面漆，符合欧洲环保要求；                                                                                                                                   5、五金配件：著名优质五金配件.</w:t>
            </w:r>
          </w:p>
        </w:tc>
        <w:tc>
          <w:tcPr>
            <w:tcW w:w="2199"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7696" behindDoc="0" locked="0" layoutInCell="1" allowOverlap="1">
                  <wp:simplePos x="0" y="0"/>
                  <wp:positionH relativeFrom="column">
                    <wp:posOffset>196850</wp:posOffset>
                  </wp:positionH>
                  <wp:positionV relativeFrom="paragraph">
                    <wp:posOffset>302260</wp:posOffset>
                  </wp:positionV>
                  <wp:extent cx="1027430" cy="1027430"/>
                  <wp:effectExtent l="0" t="0" r="8890" b="8890"/>
                  <wp:wrapNone/>
                  <wp:docPr id="83" name="Picture_7_SpCnt_1"/>
                  <wp:cNvGraphicFramePr/>
                  <a:graphic xmlns:a="http://schemas.openxmlformats.org/drawingml/2006/main">
                    <a:graphicData uri="http://schemas.openxmlformats.org/drawingml/2006/picture">
                      <pic:pic xmlns:pic="http://schemas.openxmlformats.org/drawingml/2006/picture">
                        <pic:nvPicPr>
                          <pic:cNvPr id="83" name="Picture_7_SpCnt_1"/>
                          <pic:cNvPicPr/>
                        </pic:nvPicPr>
                        <pic:blipFill>
                          <a:blip r:embed="rId30" cstate="print"/>
                          <a:stretch>
                            <a:fillRect/>
                          </a:stretch>
                        </pic:blipFill>
                        <pic:spPr>
                          <a:xfrm>
                            <a:off x="0" y="0"/>
                            <a:ext cx="1027430" cy="102743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2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会议椅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580W*740D*970H</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40</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·黑色PP料背架</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·PP分体固定扶手</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·25管1.8厚黑色烤漆弓形架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8720" behindDoc="0" locked="0" layoutInCell="1" allowOverlap="1">
                  <wp:simplePos x="0" y="0"/>
                  <wp:positionH relativeFrom="column">
                    <wp:posOffset>295275</wp:posOffset>
                  </wp:positionH>
                  <wp:positionV relativeFrom="paragraph">
                    <wp:posOffset>235585</wp:posOffset>
                  </wp:positionV>
                  <wp:extent cx="641985" cy="826770"/>
                  <wp:effectExtent l="0" t="0" r="13335" b="11430"/>
                  <wp:wrapNone/>
                  <wp:docPr id="84" name="图片_41_SpCnt_1"/>
                  <wp:cNvGraphicFramePr/>
                  <a:graphic xmlns:a="http://schemas.openxmlformats.org/drawingml/2006/main">
                    <a:graphicData uri="http://schemas.openxmlformats.org/drawingml/2006/picture">
                      <pic:pic xmlns:pic="http://schemas.openxmlformats.org/drawingml/2006/picture">
                        <pic:nvPicPr>
                          <pic:cNvPr id="84" name="图片_41_SpCnt_1"/>
                          <pic:cNvPicPr/>
                        </pic:nvPicPr>
                        <pic:blipFill>
                          <a:blip r:embed="rId31" cstate="print"/>
                          <a:stretch>
                            <a:fillRect/>
                          </a:stretch>
                        </pic:blipFill>
                        <pic:spPr>
                          <a:xfrm>
                            <a:off x="0" y="0"/>
                            <a:ext cx="641985" cy="82677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2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23</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双人位沙发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1420W*780D*775H（每间配4张）</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36</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·优质西皮饰面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·木方采用双面刨光、烘干、除虫处理实木木架</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·锰钢蛇簧加平衡线处理，永不变形</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·实木沙发架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79744" behindDoc="0" locked="0" layoutInCell="1" allowOverlap="1">
                  <wp:simplePos x="0" y="0"/>
                  <wp:positionH relativeFrom="column">
                    <wp:posOffset>95250</wp:posOffset>
                  </wp:positionH>
                  <wp:positionV relativeFrom="paragraph">
                    <wp:posOffset>225425</wp:posOffset>
                  </wp:positionV>
                  <wp:extent cx="1266190" cy="947420"/>
                  <wp:effectExtent l="0" t="0" r="13970" b="12700"/>
                  <wp:wrapNone/>
                  <wp:docPr id="85" name="object_7"/>
                  <wp:cNvGraphicFramePr/>
                  <a:graphic xmlns:a="http://schemas.openxmlformats.org/drawingml/2006/main">
                    <a:graphicData uri="http://schemas.openxmlformats.org/drawingml/2006/picture">
                      <pic:pic xmlns:pic="http://schemas.openxmlformats.org/drawingml/2006/picture">
                        <pic:nvPicPr>
                          <pic:cNvPr id="85" name="object_7"/>
                          <pic:cNvPicPr/>
                        </pic:nvPicPr>
                        <pic:blipFill>
                          <a:blip r:embed="rId32" cstate="print"/>
                          <a:stretch>
                            <a:fillRect/>
                          </a:stretch>
                        </pic:blipFill>
                        <pic:spPr>
                          <a:xfrm>
                            <a:off x="0" y="0"/>
                            <a:ext cx="1266190" cy="94742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图片色</w:t>
            </w:r>
          </w:p>
        </w:tc>
        <w:tc>
          <w:tcPr>
            <w:tcW w:w="709" w:type="dxa"/>
            <w:tcBorders>
              <w:top w:val="single" w:color="000000" w:sz="4" w:space="0"/>
              <w:left w:val="single" w:color="000000" w:sz="4" w:space="0"/>
              <w:bottom w:val="single" w:color="000000" w:sz="4" w:space="0"/>
              <w:right w:val="single" w:color="000000" w:sz="4" w:space="0"/>
            </w:tcBorders>
          </w:tcPr>
          <w:p>
            <w:pPr>
              <w:jc w:val="left"/>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left"/>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6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24</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长茶几</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1200W*600D*450H</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 xml:space="preserve">(每间配3张）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27</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1、面材：AAA级优质胡桃木皮饰面；                                                                                                                                                           2、基材：E1级国际环保密度纤维板，确保甲醛之排放达至安全水平；                                                                                                                                3、封边：与贴面相同的实木木材；                                                                                                                                                         4、油漆：采用优质PE底漆,德国PU面漆，符合欧洲环保要求；                                                                                                                                   5、五金配件：著名优质五金配件.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80768" behindDoc="0" locked="0" layoutInCell="1" allowOverlap="1">
                  <wp:simplePos x="0" y="0"/>
                  <wp:positionH relativeFrom="column">
                    <wp:posOffset>78740</wp:posOffset>
                  </wp:positionH>
                  <wp:positionV relativeFrom="paragraph">
                    <wp:posOffset>292735</wp:posOffset>
                  </wp:positionV>
                  <wp:extent cx="1146175" cy="607060"/>
                  <wp:effectExtent l="19050" t="0" r="0" b="0"/>
                  <wp:wrapNone/>
                  <wp:docPr id="86" name="图片_37"/>
                  <wp:cNvGraphicFramePr/>
                  <a:graphic xmlns:a="http://schemas.openxmlformats.org/drawingml/2006/main">
                    <a:graphicData uri="http://schemas.openxmlformats.org/drawingml/2006/picture">
                      <pic:pic xmlns:pic="http://schemas.openxmlformats.org/drawingml/2006/picture">
                        <pic:nvPicPr>
                          <pic:cNvPr id="86" name="图片_37"/>
                          <pic:cNvPicPr/>
                        </pic:nvPicPr>
                        <pic:blipFill>
                          <a:blip r:embed="rId33" cstate="print"/>
                          <a:stretch>
                            <a:fillRect/>
                          </a:stretch>
                        </pic:blipFill>
                        <pic:spPr>
                          <a:xfrm>
                            <a:off x="0" y="0"/>
                            <a:ext cx="1146175" cy="607060"/>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图片色</w:t>
            </w:r>
          </w:p>
        </w:tc>
        <w:tc>
          <w:tcPr>
            <w:tcW w:w="709" w:type="dxa"/>
            <w:tcBorders>
              <w:top w:val="single" w:color="000000" w:sz="4" w:space="0"/>
              <w:left w:val="single" w:color="000000" w:sz="4" w:space="0"/>
              <w:bottom w:val="single" w:color="000000" w:sz="4" w:space="0"/>
              <w:right w:val="single" w:color="000000" w:sz="4" w:space="0"/>
            </w:tcBorders>
          </w:tcPr>
          <w:p>
            <w:pPr>
              <w:jc w:val="left"/>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left"/>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8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矮书柜         </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800W*400D*750H </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 xml:space="preserve">（每间配2组）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组</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18</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1.基材：国产优质免漆板达E1级环保板，握钉力强，吸水膨胀率低，游离甲醛含量达E1标准。                                                                                                                    2.面材：国产免漆板、阻燃、防污、耐冲击、耐刮损、耐磨性强。                                                                                                                                 3.封边：优质PVC硬封边，颜色均匀，                                                                                                                                                          4.优质五金配件</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81792" behindDoc="0" locked="0" layoutInCell="1" allowOverlap="1">
                  <wp:simplePos x="0" y="0"/>
                  <wp:positionH relativeFrom="column">
                    <wp:posOffset>191770</wp:posOffset>
                  </wp:positionH>
                  <wp:positionV relativeFrom="paragraph">
                    <wp:posOffset>357505</wp:posOffset>
                  </wp:positionV>
                  <wp:extent cx="1139190" cy="897255"/>
                  <wp:effectExtent l="0" t="0" r="3810" b="1905"/>
                  <wp:wrapNone/>
                  <wp:docPr id="87" name="图片_38"/>
                  <wp:cNvGraphicFramePr/>
                  <a:graphic xmlns:a="http://schemas.openxmlformats.org/drawingml/2006/main">
                    <a:graphicData uri="http://schemas.openxmlformats.org/drawingml/2006/picture">
                      <pic:pic xmlns:pic="http://schemas.openxmlformats.org/drawingml/2006/picture">
                        <pic:nvPicPr>
                          <pic:cNvPr id="87" name="图片_38"/>
                          <pic:cNvPicPr/>
                        </pic:nvPicPr>
                        <pic:blipFill>
                          <a:blip r:embed="rId34" cstate="print"/>
                          <a:stretch>
                            <a:fillRect/>
                          </a:stretch>
                        </pic:blipFill>
                        <pic:spPr>
                          <a:xfrm>
                            <a:off x="0" y="0"/>
                            <a:ext cx="1139190" cy="897255"/>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80" w:hRule="atLeast"/>
        </w:trPr>
        <w:tc>
          <w:tcPr>
            <w:tcW w:w="438" w:type="dxa"/>
            <w:tcBorders>
              <w:top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26</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条桌</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2000W*800D*1050H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8</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1.板材：优质免漆板达E1级环保标准；</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2.封边：近色PVC直边封边；</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3.胶水：优质品牌环保胶水，达到国际环保标准</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 xml:space="preserve">4.五金配件：优质五金配件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82816" behindDoc="0" locked="0" layoutInCell="1" allowOverlap="1">
                  <wp:simplePos x="0" y="0"/>
                  <wp:positionH relativeFrom="column">
                    <wp:posOffset>123825</wp:posOffset>
                  </wp:positionH>
                  <wp:positionV relativeFrom="paragraph">
                    <wp:posOffset>158750</wp:posOffset>
                  </wp:positionV>
                  <wp:extent cx="1204595" cy="895350"/>
                  <wp:effectExtent l="0" t="0" r="14605" b="3810"/>
                  <wp:wrapNone/>
                  <wp:docPr id="88" name="图片_39"/>
                  <wp:cNvGraphicFramePr/>
                  <a:graphic xmlns:a="http://schemas.openxmlformats.org/drawingml/2006/main">
                    <a:graphicData uri="http://schemas.openxmlformats.org/drawingml/2006/picture">
                      <pic:pic xmlns:pic="http://schemas.openxmlformats.org/drawingml/2006/picture">
                        <pic:nvPicPr>
                          <pic:cNvPr id="88" name="图片_39"/>
                          <pic:cNvPicPr/>
                        </pic:nvPicPr>
                        <pic:blipFill>
                          <a:blip r:embed="rId35" cstate="print"/>
                          <a:stretch>
                            <a:fillRect/>
                          </a:stretch>
                        </pic:blipFill>
                        <pic:spPr>
                          <a:xfrm>
                            <a:off x="0" y="0"/>
                            <a:ext cx="1204595" cy="895350"/>
                          </a:xfrm>
                          <a:prstGeom prst="rect">
                            <a:avLst/>
                          </a:prstGeom>
                          <a:noFill/>
                          <a:ln>
                            <a:noFill/>
                          </a:ln>
                        </pic:spPr>
                      </pic:pic>
                    </a:graphicData>
                  </a:graphic>
                </wp:anchor>
              </w:drawing>
            </w:r>
            <w:r>
              <w:rPr>
                <w:rFonts w:hint="eastAsia" w:ascii="宋体" w:hAnsi="宋体" w:eastAsia="宋体" w:cs="宋体"/>
                <w:color w:val="000000"/>
                <w:sz w:val="15"/>
                <w:szCs w:val="15"/>
                <w:bdr w:val="single" w:color="000000" w:sz="4" w:space="0"/>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7480" cy="27305"/>
                  <wp:effectExtent l="0" t="0" r="0" b="0"/>
                  <wp:wrapNone/>
                  <wp:docPr id="89" name="image1.png_SpCnt_3"/>
                  <wp:cNvGraphicFramePr/>
                  <a:graphic xmlns:a="http://schemas.openxmlformats.org/drawingml/2006/main">
                    <a:graphicData uri="http://schemas.openxmlformats.org/drawingml/2006/picture">
                      <pic:pic xmlns:pic="http://schemas.openxmlformats.org/drawingml/2006/picture">
                        <pic:nvPicPr>
                          <pic:cNvPr id="89" name="image1.png_SpCnt_3"/>
                          <pic:cNvPicPr/>
                        </pic:nvPicPr>
                        <pic:blipFill>
                          <a:blip r:embed="rId36" cstate="print"/>
                          <a:stretch>
                            <a:fillRect/>
                          </a:stretch>
                        </pic:blipFill>
                        <pic:spPr>
                          <a:xfrm>
                            <a:off x="0" y="0"/>
                            <a:ext cx="157480" cy="27305"/>
                          </a:xfrm>
                          <a:prstGeom prst="rect">
                            <a:avLst/>
                          </a:prstGeom>
                          <a:noFill/>
                          <a:ln>
                            <a:noFill/>
                          </a:ln>
                        </pic:spPr>
                      </pic:pic>
                    </a:graphicData>
                  </a:graphic>
                </wp:anchor>
              </w:drawing>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待定</w:t>
            </w:r>
          </w:p>
        </w:tc>
        <w:tc>
          <w:tcPr>
            <w:tcW w:w="70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00" w:hRule="atLeast"/>
        </w:trPr>
        <w:tc>
          <w:tcPr>
            <w:tcW w:w="438" w:type="dxa"/>
            <w:tcBorders>
              <w:top w:val="single" w:color="000000" w:sz="4" w:space="0"/>
              <w:right w:val="single" w:color="000000" w:sz="4" w:space="0"/>
            </w:tcBorders>
            <w:shd w:val="clear" w:color="auto" w:fill="auto"/>
            <w:vAlign w:val="center"/>
          </w:tcPr>
          <w:p>
            <w:pPr>
              <w:jc w:val="center"/>
              <w:textAlignment w:val="center"/>
              <w:rPr>
                <w:rFonts w:cs="宋体" w:asciiTheme="minorEastAsia" w:hAnsiTheme="minorEastAsia"/>
                <w:color w:val="000000"/>
                <w:sz w:val="16"/>
                <w:szCs w:val="15"/>
              </w:rPr>
            </w:pPr>
            <w:r>
              <w:rPr>
                <w:rFonts w:hint="eastAsia" w:cs="华文楷体" w:asciiTheme="minorEastAsia" w:hAnsiTheme="minorEastAsia"/>
                <w:color w:val="000000"/>
                <w:sz w:val="16"/>
                <w:szCs w:val="20"/>
              </w:rPr>
              <w:t>27</w:t>
            </w:r>
          </w:p>
        </w:tc>
        <w:tc>
          <w:tcPr>
            <w:tcW w:w="439"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办公椅</w:t>
            </w:r>
          </w:p>
        </w:tc>
        <w:tc>
          <w:tcPr>
            <w:tcW w:w="875"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常规</w:t>
            </w:r>
          </w:p>
        </w:tc>
        <w:tc>
          <w:tcPr>
            <w:tcW w:w="409"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张</w:t>
            </w:r>
          </w:p>
        </w:tc>
        <w:tc>
          <w:tcPr>
            <w:tcW w:w="480" w:type="dxa"/>
            <w:tcBorders>
              <w:top w:val="single" w:color="000000" w:sz="4" w:space="0"/>
              <w:left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20</w:t>
            </w:r>
          </w:p>
        </w:tc>
        <w:tc>
          <w:tcPr>
            <w:tcW w:w="3252" w:type="dxa"/>
            <w:tcBorders>
              <w:top w:val="single" w:color="000000" w:sz="4" w:space="0"/>
              <w:left w:val="single" w:color="000000" w:sz="4" w:space="0"/>
              <w:right w:val="single" w:color="000000" w:sz="4" w:space="0"/>
            </w:tcBorders>
            <w:shd w:val="clear" w:color="auto" w:fill="auto"/>
            <w:vAlign w:val="center"/>
          </w:tcPr>
          <w:p>
            <w:pPr>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·黑色PP料背架</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·高弹力海绵</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·PP分体固定扶手</w:t>
            </w:r>
            <w:r>
              <w:rPr>
                <w:rFonts w:hint="eastAsia" w:ascii="宋体" w:hAnsi="宋体" w:eastAsia="宋体" w:cs="宋体"/>
                <w:color w:val="000000"/>
                <w:sz w:val="15"/>
                <w:szCs w:val="15"/>
              </w:rPr>
              <w:br w:type="textWrapping"/>
            </w:r>
            <w:r>
              <w:rPr>
                <w:rFonts w:hint="eastAsia" w:ascii="宋体" w:hAnsi="宋体" w:eastAsia="宋体" w:cs="宋体"/>
                <w:color w:val="000000"/>
                <w:sz w:val="15"/>
                <w:szCs w:val="15"/>
              </w:rPr>
              <w:t>·25管1.8厚黑色烤漆弓形架</w:t>
            </w:r>
          </w:p>
        </w:tc>
        <w:tc>
          <w:tcPr>
            <w:tcW w:w="2199"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bdr w:val="single" w:color="000000" w:sz="4" w:space="0"/>
              </w:rPr>
              <w:drawing>
                <wp:anchor distT="0" distB="0" distL="114300" distR="114300" simplePos="0" relativeHeight="251684864" behindDoc="0" locked="0" layoutInCell="1" allowOverlap="1">
                  <wp:simplePos x="0" y="0"/>
                  <wp:positionH relativeFrom="column">
                    <wp:posOffset>497840</wp:posOffset>
                  </wp:positionH>
                  <wp:positionV relativeFrom="paragraph">
                    <wp:posOffset>120015</wp:posOffset>
                  </wp:positionV>
                  <wp:extent cx="575310" cy="740410"/>
                  <wp:effectExtent l="0" t="0" r="3810" b="6350"/>
                  <wp:wrapNone/>
                  <wp:docPr id="91" name="图片_41_SpCnt_2"/>
                  <wp:cNvGraphicFramePr/>
                  <a:graphic xmlns:a="http://schemas.openxmlformats.org/drawingml/2006/main">
                    <a:graphicData uri="http://schemas.openxmlformats.org/drawingml/2006/picture">
                      <pic:pic xmlns:pic="http://schemas.openxmlformats.org/drawingml/2006/picture">
                        <pic:nvPicPr>
                          <pic:cNvPr id="91" name="图片_41_SpCnt_2"/>
                          <pic:cNvPicPr/>
                        </pic:nvPicPr>
                        <pic:blipFill>
                          <a:blip r:embed="rId37" cstate="print"/>
                          <a:stretch>
                            <a:fillRect/>
                          </a:stretch>
                        </pic:blipFill>
                        <pic:spPr>
                          <a:xfrm>
                            <a:off x="0" y="0"/>
                            <a:ext cx="575310" cy="740410"/>
                          </a:xfrm>
                          <a:prstGeom prst="rect">
                            <a:avLst/>
                          </a:prstGeom>
                          <a:noFill/>
                          <a:ln>
                            <a:noFill/>
                          </a:ln>
                        </pic:spPr>
                      </pic:pic>
                    </a:graphicData>
                  </a:graphic>
                </wp:anchor>
              </w:drawing>
            </w:r>
          </w:p>
        </w:tc>
        <w:tc>
          <w:tcPr>
            <w:tcW w:w="709" w:type="dxa"/>
            <w:tcBorders>
              <w:top w:val="single" w:color="000000" w:sz="4" w:space="0"/>
              <w:left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黑色</w:t>
            </w:r>
          </w:p>
        </w:tc>
        <w:tc>
          <w:tcPr>
            <w:tcW w:w="709" w:type="dxa"/>
            <w:tcBorders>
              <w:top w:val="single" w:color="000000" w:sz="4" w:space="0"/>
              <w:left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right w:val="single" w:color="000000" w:sz="4" w:space="0"/>
            </w:tcBorders>
          </w:tcPr>
          <w:p>
            <w:pPr>
              <w:jc w:val="center"/>
              <w:textAlignment w:val="center"/>
              <w:rPr>
                <w:rFonts w:ascii="宋体" w:hAnsi="宋体" w:eastAsia="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9" w:hRule="atLeast"/>
        </w:trPr>
        <w:tc>
          <w:tcPr>
            <w:tcW w:w="8092" w:type="dxa"/>
            <w:gridSpan w:val="7"/>
            <w:tcBorders>
              <w:top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合计</w:t>
            </w:r>
          </w:p>
        </w:tc>
        <w:tc>
          <w:tcPr>
            <w:tcW w:w="709" w:type="dxa"/>
            <w:tcBorders>
              <w:top w:val="single" w:color="000000" w:sz="4" w:space="0"/>
              <w:left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15"/>
                <w:szCs w:val="15"/>
              </w:rPr>
            </w:pPr>
          </w:p>
        </w:tc>
        <w:tc>
          <w:tcPr>
            <w:tcW w:w="709" w:type="dxa"/>
            <w:tcBorders>
              <w:top w:val="single" w:color="000000" w:sz="4" w:space="0"/>
              <w:left w:val="single" w:color="000000" w:sz="4" w:space="0"/>
              <w:right w:val="single" w:color="000000" w:sz="4" w:space="0"/>
            </w:tcBorders>
          </w:tcPr>
          <w:p>
            <w:pPr>
              <w:jc w:val="center"/>
              <w:textAlignment w:val="center"/>
              <w:rPr>
                <w:rFonts w:ascii="宋体" w:hAnsi="宋体" w:eastAsia="宋体" w:cs="宋体"/>
                <w:color w:val="000000"/>
                <w:sz w:val="15"/>
                <w:szCs w:val="15"/>
              </w:rPr>
            </w:pPr>
          </w:p>
        </w:tc>
        <w:tc>
          <w:tcPr>
            <w:tcW w:w="775" w:type="dxa"/>
            <w:tcBorders>
              <w:top w:val="single" w:color="000000" w:sz="4" w:space="0"/>
              <w:left w:val="single" w:color="000000" w:sz="4" w:space="0"/>
              <w:right w:val="single" w:color="000000" w:sz="4" w:space="0"/>
            </w:tcBorders>
          </w:tcPr>
          <w:p>
            <w:pPr>
              <w:jc w:val="center"/>
              <w:textAlignment w:val="center"/>
              <w:rPr>
                <w:rFonts w:ascii="宋体" w:hAnsi="宋体" w:eastAsia="宋体" w:cs="宋体"/>
                <w:color w:val="000000"/>
                <w:sz w:val="15"/>
                <w:szCs w:val="15"/>
              </w:rPr>
            </w:pPr>
          </w:p>
        </w:tc>
      </w:tr>
    </w:tbl>
    <w:p>
      <w:pPr>
        <w:spacing w:beforeLines="50" w:afterLines="25" w:line="240" w:lineRule="auto"/>
        <w:ind w:firstLine="560" w:firstLineChars="200"/>
        <w:jc w:val="left"/>
        <w:outlineLvl w:val="1"/>
        <w:rPr>
          <w:rFonts w:ascii="仿宋" w:hAnsi="仿宋" w:eastAsia="仿宋" w:cs="仿宋"/>
          <w:bCs/>
          <w:sz w:val="28"/>
          <w:szCs w:val="28"/>
        </w:rPr>
      </w:pPr>
      <w:r>
        <w:rPr>
          <w:rFonts w:hint="eastAsia" w:ascii="仿宋" w:hAnsi="仿宋" w:eastAsia="仿宋" w:cs="仿宋"/>
          <w:bCs/>
          <w:sz w:val="28"/>
          <w:szCs w:val="28"/>
        </w:rPr>
        <w:t>注：</w:t>
      </w:r>
    </w:p>
    <w:p>
      <w:pPr>
        <w:spacing w:beforeLines="50" w:afterLines="25" w:line="240" w:lineRule="auto"/>
        <w:ind w:firstLine="560" w:firstLineChars="200"/>
        <w:jc w:val="left"/>
        <w:outlineLvl w:val="1"/>
        <w:rPr>
          <w:rFonts w:ascii="仿宋" w:hAnsi="仿宋" w:eastAsia="仿宋" w:cs="仿宋"/>
          <w:bCs/>
          <w:color w:val="auto"/>
          <w:sz w:val="28"/>
          <w:szCs w:val="28"/>
        </w:rPr>
      </w:pPr>
      <w:r>
        <w:rPr>
          <w:rFonts w:hint="eastAsia" w:ascii="仿宋" w:hAnsi="仿宋" w:eastAsia="仿宋" w:cs="仿宋"/>
          <w:bCs/>
          <w:color w:val="auto"/>
          <w:sz w:val="28"/>
          <w:szCs w:val="28"/>
        </w:rPr>
        <w:t>（1）所有报价产品需要提供品牌、规格型号参数、报价产品图片等真实详细信息。</w:t>
      </w:r>
      <w:r>
        <w:rPr>
          <w:rFonts w:ascii="仿宋" w:hAnsi="仿宋" w:eastAsia="仿宋"/>
          <w:color w:val="auto"/>
          <w:sz w:val="28"/>
          <w:szCs w:val="28"/>
        </w:rPr>
        <w:t>如果不提供详细参数和报价将视为没有实质性响应</w:t>
      </w:r>
      <w:r>
        <w:rPr>
          <w:rFonts w:hint="eastAsia" w:ascii="仿宋" w:hAnsi="仿宋" w:eastAsia="仿宋"/>
          <w:color w:val="auto"/>
          <w:sz w:val="28"/>
          <w:szCs w:val="28"/>
        </w:rPr>
        <w:t>公开询价</w:t>
      </w:r>
      <w:r>
        <w:rPr>
          <w:rFonts w:ascii="仿宋" w:hAnsi="仿宋" w:eastAsia="仿宋"/>
          <w:color w:val="auto"/>
          <w:sz w:val="28"/>
          <w:szCs w:val="28"/>
        </w:rPr>
        <w:t>文件</w:t>
      </w:r>
      <w:r>
        <w:rPr>
          <w:rFonts w:hint="eastAsia" w:ascii="仿宋" w:hAnsi="仿宋" w:eastAsia="仿宋" w:cs="仿宋"/>
          <w:bCs/>
          <w:color w:val="auto"/>
          <w:sz w:val="28"/>
          <w:szCs w:val="28"/>
        </w:rPr>
        <w:t>；</w:t>
      </w:r>
    </w:p>
    <w:p>
      <w:pPr>
        <w:spacing w:beforeLines="50" w:afterLines="25" w:line="240" w:lineRule="auto"/>
        <w:ind w:firstLine="560" w:firstLineChars="200"/>
        <w:jc w:val="left"/>
        <w:outlineLvl w:val="1"/>
        <w:rPr>
          <w:rFonts w:ascii="仿宋" w:hAnsi="仿宋" w:eastAsia="仿宋" w:cs="仿宋"/>
          <w:bCs/>
          <w:color w:val="auto"/>
          <w:sz w:val="28"/>
          <w:szCs w:val="28"/>
        </w:rPr>
      </w:pPr>
      <w:r>
        <w:rPr>
          <w:rFonts w:hint="eastAsia" w:ascii="仿宋" w:hAnsi="仿宋" w:eastAsia="仿宋" w:cs="仿宋"/>
          <w:bCs/>
          <w:color w:val="auto"/>
          <w:sz w:val="28"/>
          <w:szCs w:val="28"/>
        </w:rPr>
        <w:t>（2）所有报价商品保修期不低于5年；</w:t>
      </w:r>
    </w:p>
    <w:p>
      <w:pPr>
        <w:spacing w:beforeLines="50" w:afterLines="25" w:line="240" w:lineRule="auto"/>
        <w:ind w:firstLine="560" w:firstLineChars="200"/>
        <w:jc w:val="left"/>
        <w:outlineLvl w:val="1"/>
        <w:rPr>
          <w:rFonts w:ascii="仿宋" w:hAnsi="仿宋" w:eastAsia="仿宋" w:cs="仿宋"/>
          <w:bCs/>
          <w:color w:val="auto"/>
          <w:sz w:val="28"/>
          <w:szCs w:val="28"/>
        </w:rPr>
      </w:pPr>
      <w:r>
        <w:rPr>
          <w:rFonts w:hint="eastAsia" w:ascii="仿宋" w:hAnsi="仿宋" w:eastAsia="仿宋" w:cs="仿宋"/>
          <w:bCs/>
          <w:color w:val="auto"/>
          <w:sz w:val="28"/>
          <w:szCs w:val="28"/>
        </w:rPr>
        <w:t>（3）以上产品的报价应包含税费、运输费、搬运费、安装材料费、安装人工费、售后服务等一切费用。</w:t>
      </w:r>
    </w:p>
    <w:p>
      <w:pPr>
        <w:spacing w:line="380" w:lineRule="exact"/>
        <w:ind w:left="147" w:leftChars="67"/>
        <w:rPr>
          <w:rFonts w:ascii="仿宋" w:hAnsi="仿宋" w:eastAsia="仿宋"/>
          <w:color w:val="auto"/>
          <w:sz w:val="28"/>
          <w:szCs w:val="28"/>
        </w:rPr>
      </w:pPr>
      <w:r>
        <w:rPr>
          <w:rFonts w:hint="eastAsia" w:ascii="仿宋" w:hAnsi="仿宋" w:eastAsia="仿宋" w:cs="仿宋"/>
          <w:bCs/>
          <w:color w:val="auto"/>
          <w:sz w:val="28"/>
          <w:szCs w:val="28"/>
        </w:rPr>
        <w:t>（4）</w:t>
      </w:r>
      <w:r>
        <w:rPr>
          <w:rFonts w:ascii="仿宋" w:hAnsi="仿宋" w:eastAsia="仿宋"/>
          <w:color w:val="auto"/>
          <w:sz w:val="28"/>
          <w:szCs w:val="28"/>
        </w:rPr>
        <w:t>如果按单价计算的结果与总价不一致,以单价为准修正总价。</w:t>
      </w:r>
    </w:p>
    <w:p>
      <w:pPr>
        <w:spacing w:beforeLines="50" w:afterLines="25" w:line="240" w:lineRule="auto"/>
        <w:ind w:firstLine="560" w:firstLineChars="200"/>
        <w:jc w:val="left"/>
        <w:outlineLvl w:val="1"/>
        <w:rPr>
          <w:rFonts w:ascii="仿宋" w:hAnsi="仿宋" w:eastAsia="仿宋" w:cs="仿宋"/>
          <w:bCs/>
          <w:color w:val="FF0000"/>
          <w:sz w:val="28"/>
          <w:szCs w:val="28"/>
        </w:rPr>
      </w:pPr>
      <w:r>
        <w:rPr>
          <w:rFonts w:hint="eastAsia" w:ascii="仿宋" w:hAnsi="仿宋" w:eastAsia="仿宋" w:cs="仿宋"/>
          <w:bCs/>
          <w:color w:val="FF0000"/>
          <w:sz w:val="28"/>
          <w:szCs w:val="28"/>
        </w:rPr>
        <w:t>。</w:t>
      </w:r>
    </w:p>
    <w:p>
      <w:pPr>
        <w:spacing w:line="500" w:lineRule="exact"/>
        <w:jc w:val="left"/>
        <w:rPr>
          <w:rFonts w:ascii="仿宋" w:hAnsi="仿宋" w:eastAsia="仿宋"/>
          <w:b/>
          <w:color w:val="FF0000"/>
          <w:sz w:val="36"/>
          <w:szCs w:val="36"/>
        </w:rPr>
      </w:pPr>
    </w:p>
    <w:p>
      <w:pPr>
        <w:rPr>
          <w:rFonts w:ascii="仿宋" w:hAnsi="仿宋" w:eastAsia="仿宋"/>
          <w:b/>
          <w:color w:val="FF0000"/>
          <w:sz w:val="36"/>
          <w:szCs w:val="36"/>
        </w:rPr>
        <w:sectPr>
          <w:headerReference r:id="rId6" w:type="first"/>
          <w:pgSz w:w="11906" w:h="16838"/>
          <w:pgMar w:top="1440" w:right="1416" w:bottom="1440" w:left="1134" w:header="851" w:footer="227" w:gutter="0"/>
          <w:cols w:space="425" w:num="1"/>
          <w:docGrid w:type="lines" w:linePitch="312" w:charSpace="0"/>
        </w:sectPr>
      </w:pPr>
      <w:r>
        <w:rPr>
          <w:rFonts w:ascii="仿宋" w:hAnsi="仿宋" w:eastAsia="仿宋"/>
          <w:b/>
          <w:color w:val="FF0000"/>
          <w:sz w:val="36"/>
          <w:szCs w:val="36"/>
        </w:rPr>
        <w:br w:type="page"/>
      </w:r>
    </w:p>
    <w:p>
      <w:pPr>
        <w:rPr>
          <w:rFonts w:ascii="仿宋" w:hAnsi="仿宋" w:eastAsia="仿宋"/>
          <w:b/>
          <w:color w:val="FF0000"/>
          <w:sz w:val="36"/>
          <w:szCs w:val="36"/>
        </w:rPr>
      </w:pPr>
    </w:p>
    <w:p>
      <w:pPr>
        <w:spacing w:line="1000" w:lineRule="exact"/>
        <w:jc w:val="center"/>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rPr>
        <w:t>广州应用科技学院</w:t>
      </w:r>
    </w:p>
    <w:p>
      <w:pPr>
        <w:spacing w:line="1000" w:lineRule="exact"/>
        <w:jc w:val="center"/>
        <w:rPr>
          <w:rFonts w:ascii="仿宋" w:hAnsi="仿宋" w:eastAsia="仿宋"/>
          <w:b/>
          <w:sz w:val="40"/>
          <w:szCs w:val="44"/>
        </w:rPr>
      </w:pPr>
      <w:r>
        <w:rPr>
          <w:rFonts w:hint="eastAsia" w:ascii="仿宋" w:hAnsi="仿宋" w:eastAsia="仿宋"/>
          <w:b/>
          <w:sz w:val="40"/>
          <w:szCs w:val="44"/>
        </w:rPr>
        <w:t>关于肇庆校区教学楼、实验楼办公家具采购项目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sz w:val="36"/>
          <w:szCs w:val="36"/>
        </w:rPr>
      </w:pPr>
      <w:r>
        <w:rPr>
          <w:rFonts w:hint="eastAsia" w:ascii="仿宋" w:hAnsi="仿宋" w:eastAsia="仿宋"/>
          <w:b/>
          <w:sz w:val="36"/>
          <w:szCs w:val="36"/>
        </w:rPr>
        <w:t>参与人名称（公司全称）：</w:t>
      </w:r>
      <w:r>
        <w:rPr>
          <w:rFonts w:ascii="仿宋" w:hAnsi="仿宋" w:eastAsia="仿宋"/>
          <w:b/>
          <w:sz w:val="36"/>
          <w:szCs w:val="36"/>
        </w:rPr>
        <w:t>XXXX</w:t>
      </w:r>
    </w:p>
    <w:p>
      <w:pPr>
        <w:spacing w:line="500" w:lineRule="exact"/>
        <w:ind w:firstLine="2331" w:firstLineChars="645"/>
        <w:rPr>
          <w:rFonts w:ascii="仿宋" w:hAnsi="仿宋" w:eastAsia="仿宋"/>
          <w:b/>
          <w:sz w:val="36"/>
          <w:szCs w:val="36"/>
        </w:rPr>
      </w:pPr>
      <w:r>
        <w:rPr>
          <w:rFonts w:hint="eastAsia" w:ascii="仿宋" w:hAnsi="仿宋" w:eastAsia="仿宋"/>
          <w:b/>
          <w:sz w:val="36"/>
          <w:szCs w:val="36"/>
        </w:rPr>
        <w:t>参与人授权代表：X</w:t>
      </w:r>
      <w:r>
        <w:rPr>
          <w:rFonts w:ascii="仿宋" w:hAnsi="仿宋" w:eastAsia="仿宋"/>
          <w:b/>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ascii="仿宋" w:hAnsi="仿宋" w:eastAsia="仿宋"/>
          <w:b/>
          <w:bCs/>
          <w:sz w:val="28"/>
          <w:szCs w:val="28"/>
        </w:rPr>
      </w:pPr>
      <w:bookmarkStart w:id="50" w:name="_Toc193165734"/>
      <w:bookmarkStart w:id="51" w:name="_Toc266868937"/>
      <w:bookmarkStart w:id="52" w:name="_Toc259692740"/>
      <w:bookmarkStart w:id="53" w:name="_Toc266870432"/>
      <w:bookmarkStart w:id="54" w:name="_Toc169332949"/>
      <w:bookmarkStart w:id="55" w:name="_Toc251613829"/>
      <w:bookmarkStart w:id="56" w:name="_Toc251586231"/>
      <w:bookmarkStart w:id="57" w:name="_Toc236021449"/>
      <w:bookmarkStart w:id="58" w:name="_Toc267060453"/>
      <w:bookmarkStart w:id="59" w:name="_Toc267059030"/>
      <w:bookmarkStart w:id="60" w:name="_Toc182372782"/>
      <w:bookmarkStart w:id="61" w:name="_Toc255975007"/>
      <w:bookmarkStart w:id="62" w:name="_Toc180302913"/>
      <w:bookmarkStart w:id="63" w:name="_Toc181436565"/>
      <w:bookmarkStart w:id="64" w:name="_Toc191783222"/>
      <w:bookmarkStart w:id="65" w:name="_Toc223146608"/>
      <w:bookmarkStart w:id="66" w:name="_Toc230071147"/>
      <w:bookmarkStart w:id="67" w:name="_Toc253066614"/>
      <w:bookmarkStart w:id="68" w:name="_Toc267059806"/>
      <w:bookmarkStart w:id="69" w:name="_Toc192996446"/>
      <w:bookmarkStart w:id="70" w:name="_Toc213755858"/>
      <w:bookmarkStart w:id="71" w:name="_Toc225669322"/>
      <w:bookmarkStart w:id="72" w:name="_Toc266868670"/>
      <w:bookmarkStart w:id="73" w:name="_Toc235438344"/>
      <w:bookmarkStart w:id="74" w:name="_Toc235438274"/>
      <w:bookmarkStart w:id="75" w:name="_Toc254790899"/>
      <w:bookmarkStart w:id="76" w:name="_Toc267059181"/>
      <w:bookmarkStart w:id="77" w:name="_Toc211917116"/>
      <w:bookmarkStart w:id="78" w:name="_Toc192663835"/>
      <w:bookmarkStart w:id="79" w:name="_Toc191802690"/>
      <w:bookmarkStart w:id="80" w:name="_Toc219800243"/>
      <w:bookmarkStart w:id="81" w:name="_Toc217891402"/>
      <w:bookmarkStart w:id="82" w:name="_Toc267060068"/>
      <w:bookmarkStart w:id="83" w:name="_Toc170798793"/>
      <w:bookmarkStart w:id="84" w:name="_Toc191789329"/>
      <w:bookmarkStart w:id="85" w:name="_Toc213208766"/>
      <w:bookmarkStart w:id="86" w:name="_Toc213755939"/>
      <w:bookmarkStart w:id="87" w:name="_Toc267059653"/>
      <w:bookmarkStart w:id="88" w:name="_Toc169332838"/>
      <w:bookmarkStart w:id="89" w:name="_Toc160880160"/>
      <w:bookmarkStart w:id="90" w:name="_Toc235437991"/>
      <w:bookmarkStart w:id="91" w:name="_Toc181436461"/>
      <w:bookmarkStart w:id="92" w:name="_Toc192663686"/>
      <w:bookmarkStart w:id="93" w:name="_Toc267059539"/>
      <w:bookmarkStart w:id="94" w:name="_Toc160880529"/>
      <w:bookmarkStart w:id="95" w:name="_Toc267060208"/>
      <w:bookmarkStart w:id="96" w:name="_Toc273178698"/>
      <w:bookmarkStart w:id="97" w:name="_Toc267060321"/>
      <w:bookmarkStart w:id="98" w:name="_Toc193160448"/>
      <w:bookmarkStart w:id="99" w:name="_Toc266870907"/>
      <w:bookmarkStart w:id="100" w:name="_Toc259692647"/>
      <w:bookmarkStart w:id="101" w:name="_Toc259520865"/>
      <w:bookmarkStart w:id="102" w:name="_Toc213756051"/>
      <w:bookmarkStart w:id="103" w:name="_Toc258401256"/>
      <w:bookmarkStart w:id="104" w:name="_Toc182805217"/>
      <w:bookmarkStart w:id="105" w:name="_Toc192996338"/>
      <w:bookmarkStart w:id="106" w:name="_Toc227058530"/>
      <w:bookmarkStart w:id="107" w:name="_Toc177985469"/>
      <w:bookmarkStart w:id="108" w:name="_Toc213755995"/>
      <w:bookmarkStart w:id="109" w:name="_Toc266870833"/>
      <w:bookmarkStart w:id="110" w:name="_Toc249325711"/>
      <w:bookmarkStart w:id="111" w:name="_Toc192664153"/>
      <w:bookmarkStart w:id="112" w:name="_Toc191803626"/>
      <w:bookmarkStart w:id="113" w:name="_Toc267059919"/>
      <w:bookmarkStart w:id="114" w:name="_Toc232302115"/>
      <w:bookmarkStart w:id="115" w:name="_Toc203355733"/>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ascii="仿宋" w:hAnsi="仿宋" w:eastAsia="仿宋"/>
          <w:sz w:val="28"/>
          <w:szCs w:val="28"/>
        </w:rPr>
      </w:pPr>
      <w:r>
        <w:rPr>
          <w:rFonts w:hint="eastAsia" w:ascii="仿宋" w:hAnsi="仿宋" w:eastAsia="仿宋"/>
          <w:sz w:val="28"/>
          <w:szCs w:val="28"/>
        </w:rPr>
        <w:t>致：广州应用科技学院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根据贵学校为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（全名、职务）正式授权并代表我方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（参与人公司名称）提交下述文件。</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分项报价表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7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.参与人同意提供按照贵学校可能要求的与其公开询价有关的一切数据或资料，完全理解贵学校不一定要接受最低报价或收到的任何询价响应文件。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after="0" w:line="480" w:lineRule="exact"/>
        <w:ind w:firstLine="840" w:firstLineChars="300"/>
        <w:rPr>
          <w:rFonts w:ascii="仿宋" w:hAnsi="仿宋" w:eastAsia="仿宋"/>
          <w:sz w:val="28"/>
          <w:szCs w:val="28"/>
          <w:u w:val="single"/>
        </w:rPr>
      </w:pPr>
      <w:r>
        <w:rPr>
          <w:rFonts w:hint="eastAsia" w:ascii="仿宋" w:hAnsi="仿宋" w:eastAsia="仿宋"/>
          <w:sz w:val="28"/>
          <w:szCs w:val="28"/>
        </w:rPr>
        <w:t>参与人（公司全称并加盖公章）：</w:t>
      </w:r>
      <w:r>
        <w:rPr>
          <w:rFonts w:hint="eastAsia" w:ascii="仿宋" w:hAnsi="仿宋" w:eastAsia="仿宋"/>
          <w:sz w:val="28"/>
          <w:szCs w:val="28"/>
          <w:u w:val="single"/>
        </w:rPr>
        <w:t xml:space="preserve">                       </w:t>
      </w:r>
    </w:p>
    <w:p>
      <w:pPr>
        <w:spacing w:after="0" w:line="480" w:lineRule="exact"/>
        <w:ind w:left="284" w:leftChars="129" w:firstLine="560" w:firstLineChars="200"/>
        <w:rPr>
          <w:rFonts w:ascii="仿宋" w:hAnsi="仿宋" w:eastAsia="仿宋"/>
          <w:sz w:val="28"/>
          <w:szCs w:val="28"/>
          <w:u w:val="single"/>
        </w:rPr>
      </w:pPr>
      <w:r>
        <w:rPr>
          <w:rFonts w:hint="eastAsia" w:ascii="仿宋" w:hAnsi="仿宋" w:eastAsia="仿宋"/>
          <w:sz w:val="28"/>
          <w:szCs w:val="28"/>
        </w:rPr>
        <w:t xml:space="preserve">参与人授权代表签字： </w:t>
      </w:r>
      <w:r>
        <w:rPr>
          <w:rFonts w:hint="eastAsia" w:ascii="仿宋" w:hAnsi="仿宋" w:eastAsia="仿宋"/>
          <w:sz w:val="28"/>
          <w:szCs w:val="28"/>
          <w:u w:val="single"/>
        </w:rPr>
        <w:t xml:space="preserve">                </w:t>
      </w:r>
    </w:p>
    <w:p>
      <w:pPr>
        <w:pStyle w:val="58"/>
        <w:spacing w:line="480" w:lineRule="exact"/>
        <w:ind w:firstLine="840" w:firstLineChars="300"/>
        <w:jc w:val="left"/>
        <w:outlineLvl w:val="9"/>
        <w:rPr>
          <w:rFonts w:ascii="仿宋" w:hAnsi="仿宋" w:eastAsia="仿宋"/>
          <w:szCs w:val="28"/>
        </w:rPr>
      </w:pPr>
      <w:r>
        <w:rPr>
          <w:rFonts w:hint="eastAsia" w:ascii="仿宋" w:hAnsi="仿宋" w:eastAsia="仿宋"/>
          <w:szCs w:val="28"/>
        </w:rPr>
        <w:t xml:space="preserve">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5"/>
        <w:tblW w:w="10120"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438"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产品名称</w:t>
            </w:r>
          </w:p>
        </w:tc>
        <w:tc>
          <w:tcPr>
            <w:tcW w:w="1331"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规格尺寸（W*D*H）mm</w:t>
            </w:r>
          </w:p>
        </w:tc>
        <w:tc>
          <w:tcPr>
            <w:tcW w:w="1735"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单位</w:t>
            </w:r>
          </w:p>
        </w:tc>
        <w:tc>
          <w:tcPr>
            <w:tcW w:w="665"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数量</w:t>
            </w:r>
          </w:p>
        </w:tc>
        <w:tc>
          <w:tcPr>
            <w:tcW w:w="664"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材料说明</w:t>
            </w:r>
          </w:p>
        </w:tc>
        <w:tc>
          <w:tcPr>
            <w:tcW w:w="1198"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参考图片</w:t>
            </w:r>
          </w:p>
        </w:tc>
        <w:tc>
          <w:tcPr>
            <w:tcW w:w="1066"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颜色</w:t>
            </w:r>
          </w:p>
        </w:tc>
        <w:tc>
          <w:tcPr>
            <w:tcW w:w="665"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含税 单价（元）</w:t>
            </w:r>
          </w:p>
        </w:tc>
        <w:tc>
          <w:tcPr>
            <w:tcW w:w="665" w:type="dxa"/>
            <w:tcBorders>
              <w:top w:val="single" w:color="auto" w:sz="4" w:space="0"/>
              <w:left w:val="nil"/>
              <w:bottom w:val="single" w:color="auto" w:sz="4" w:space="0"/>
              <w:right w:val="single" w:color="auto" w:sz="4" w:space="0"/>
            </w:tcBorders>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含税 小计（元）</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tcPr>
          <w:p>
            <w:pPr>
              <w:jc w:val="center"/>
              <w:rPr>
                <w:rFonts w:ascii="仿宋" w:hAnsi="仿宋" w:eastAsia="仿宋" w:cs="Tahoma"/>
                <w:color w:val="000000"/>
                <w:sz w:val="20"/>
                <w:szCs w:val="20"/>
              </w:rPr>
            </w:pPr>
          </w:p>
        </w:tc>
      </w:tr>
    </w:tbl>
    <w:p>
      <w:pPr>
        <w:spacing w:beforeLines="50" w:afterLines="25" w:line="240" w:lineRule="auto"/>
        <w:ind w:firstLine="480" w:firstLineChars="200"/>
        <w:jc w:val="left"/>
        <w:outlineLvl w:val="1"/>
        <w:rPr>
          <w:rFonts w:ascii="仿宋" w:hAnsi="仿宋" w:eastAsia="仿宋" w:cs="仿宋"/>
          <w:bCs/>
          <w:sz w:val="24"/>
          <w:szCs w:val="28"/>
        </w:rPr>
      </w:pPr>
      <w:r>
        <w:rPr>
          <w:rFonts w:hint="eastAsia" w:ascii="仿宋" w:hAnsi="仿宋" w:eastAsia="仿宋" w:cs="仿宋"/>
          <w:bCs/>
          <w:sz w:val="24"/>
          <w:szCs w:val="28"/>
        </w:rPr>
        <w:t>注：</w:t>
      </w:r>
    </w:p>
    <w:p>
      <w:pPr>
        <w:spacing w:beforeLines="50" w:afterLines="25" w:line="240" w:lineRule="auto"/>
        <w:ind w:firstLine="480" w:firstLineChars="200"/>
        <w:jc w:val="left"/>
        <w:outlineLvl w:val="1"/>
        <w:rPr>
          <w:rFonts w:ascii="仿宋" w:hAnsi="仿宋" w:eastAsia="仿宋" w:cs="仿宋"/>
          <w:bCs/>
          <w:color w:val="auto"/>
          <w:sz w:val="24"/>
          <w:szCs w:val="28"/>
        </w:rPr>
      </w:pPr>
      <w:r>
        <w:rPr>
          <w:rFonts w:hint="eastAsia" w:ascii="仿宋" w:hAnsi="仿宋" w:eastAsia="仿宋" w:cs="仿宋"/>
          <w:bCs/>
          <w:color w:val="auto"/>
          <w:sz w:val="24"/>
          <w:szCs w:val="28"/>
        </w:rPr>
        <w:t>（1）所有报价产品需要提供品牌、规格型号参数、报价产品图片等真实详细信息。</w:t>
      </w:r>
      <w:r>
        <w:rPr>
          <w:rFonts w:ascii="仿宋" w:hAnsi="仿宋" w:eastAsia="仿宋"/>
          <w:color w:val="auto"/>
          <w:sz w:val="24"/>
          <w:szCs w:val="28"/>
        </w:rPr>
        <w:t>如果不提供详细参数和报价将视为没有实质性响应</w:t>
      </w:r>
      <w:r>
        <w:rPr>
          <w:rFonts w:hint="eastAsia" w:ascii="仿宋" w:hAnsi="仿宋" w:eastAsia="仿宋"/>
          <w:color w:val="auto"/>
          <w:sz w:val="24"/>
          <w:szCs w:val="28"/>
        </w:rPr>
        <w:t>公开询价</w:t>
      </w:r>
      <w:r>
        <w:rPr>
          <w:rFonts w:ascii="仿宋" w:hAnsi="仿宋" w:eastAsia="仿宋"/>
          <w:color w:val="auto"/>
          <w:sz w:val="24"/>
          <w:szCs w:val="28"/>
        </w:rPr>
        <w:t>文件</w:t>
      </w:r>
      <w:r>
        <w:rPr>
          <w:rFonts w:hint="eastAsia" w:ascii="仿宋" w:hAnsi="仿宋" w:eastAsia="仿宋" w:cs="仿宋"/>
          <w:bCs/>
          <w:color w:val="auto"/>
          <w:sz w:val="24"/>
          <w:szCs w:val="28"/>
        </w:rPr>
        <w:t>；</w:t>
      </w:r>
    </w:p>
    <w:p>
      <w:pPr>
        <w:spacing w:beforeLines="50" w:afterLines="25" w:line="240" w:lineRule="auto"/>
        <w:ind w:firstLine="480" w:firstLineChars="200"/>
        <w:jc w:val="left"/>
        <w:outlineLvl w:val="1"/>
        <w:rPr>
          <w:rFonts w:ascii="仿宋" w:hAnsi="仿宋" w:eastAsia="仿宋" w:cs="仿宋"/>
          <w:bCs/>
          <w:color w:val="auto"/>
          <w:sz w:val="24"/>
          <w:szCs w:val="28"/>
        </w:rPr>
      </w:pPr>
      <w:r>
        <w:rPr>
          <w:rFonts w:hint="eastAsia" w:ascii="仿宋" w:hAnsi="仿宋" w:eastAsia="仿宋" w:cs="仿宋"/>
          <w:bCs/>
          <w:color w:val="auto"/>
          <w:sz w:val="24"/>
          <w:szCs w:val="28"/>
        </w:rPr>
        <w:t>（2）所有报价商品保修期不低于5年；</w:t>
      </w:r>
    </w:p>
    <w:p>
      <w:pPr>
        <w:spacing w:beforeLines="50" w:afterLines="25" w:line="240" w:lineRule="auto"/>
        <w:ind w:firstLine="480" w:firstLineChars="200"/>
        <w:jc w:val="left"/>
        <w:outlineLvl w:val="1"/>
        <w:rPr>
          <w:rFonts w:ascii="仿宋" w:hAnsi="仿宋" w:eastAsia="仿宋" w:cs="仿宋"/>
          <w:bCs/>
          <w:color w:val="auto"/>
          <w:sz w:val="24"/>
          <w:szCs w:val="28"/>
        </w:rPr>
      </w:pPr>
      <w:r>
        <w:rPr>
          <w:rFonts w:hint="eastAsia" w:ascii="仿宋" w:hAnsi="仿宋" w:eastAsia="仿宋" w:cs="仿宋"/>
          <w:bCs/>
          <w:color w:val="auto"/>
          <w:sz w:val="24"/>
          <w:szCs w:val="28"/>
        </w:rPr>
        <w:t>（3）以上产品的报价应包含税费、运输费、搬运费、安装材料费、安装人工费、售后服务等一切费用。</w:t>
      </w:r>
    </w:p>
    <w:p>
      <w:pPr>
        <w:spacing w:line="380" w:lineRule="exact"/>
        <w:ind w:left="147" w:leftChars="67"/>
        <w:rPr>
          <w:rFonts w:ascii="仿宋" w:hAnsi="仿宋" w:eastAsia="仿宋"/>
          <w:sz w:val="24"/>
          <w:szCs w:val="28"/>
        </w:rPr>
      </w:pPr>
      <w:r>
        <w:rPr>
          <w:rFonts w:hint="eastAsia" w:ascii="仿宋" w:hAnsi="仿宋" w:eastAsia="仿宋" w:cs="仿宋"/>
          <w:bCs/>
          <w:sz w:val="24"/>
          <w:szCs w:val="28"/>
        </w:rPr>
        <w:t>（4）</w:t>
      </w:r>
      <w:r>
        <w:rPr>
          <w:rFonts w:ascii="仿宋" w:hAnsi="仿宋" w:eastAsia="仿宋"/>
          <w:sz w:val="24"/>
          <w:szCs w:val="28"/>
        </w:rPr>
        <w:t>如果按单价计算的结果与总价不一致,以单价为准修正总价。</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73178703"/>
      <w:bookmarkStart w:id="117" w:name="_Toc235438281"/>
      <w:bookmarkStart w:id="118" w:name="_Toc254790909"/>
      <w:bookmarkStart w:id="119" w:name="_Toc235438352"/>
      <w:bookmarkStart w:id="120" w:name="_Toc267059811"/>
      <w:bookmarkStart w:id="121" w:name="_Toc267059186"/>
      <w:bookmarkStart w:id="122" w:name="_Toc160880165"/>
      <w:bookmarkStart w:id="123" w:name="_Toc213755945"/>
      <w:bookmarkStart w:id="124" w:name="_Toc192996343"/>
      <w:bookmarkStart w:id="125" w:name="_Toc251586241"/>
      <w:bookmarkStart w:id="126" w:name="_Toc266870839"/>
      <w:bookmarkStart w:id="127" w:name="_Toc180302918"/>
      <w:bookmarkStart w:id="128" w:name="_Toc225669328"/>
      <w:bookmarkStart w:id="129" w:name="_Toc213755864"/>
      <w:bookmarkStart w:id="130" w:name="_Toc258401265"/>
      <w:bookmarkStart w:id="131" w:name="_Toc259692656"/>
      <w:bookmarkStart w:id="132" w:name="_Toc267060461"/>
      <w:bookmarkStart w:id="133" w:name="_Toc266868943"/>
      <w:bookmarkStart w:id="134" w:name="_Toc192996451"/>
      <w:bookmarkStart w:id="135" w:name="_Toc227058536"/>
      <w:bookmarkStart w:id="136" w:name="_Toc213208771"/>
      <w:bookmarkStart w:id="137" w:name="_Toc182805222"/>
      <w:bookmarkStart w:id="138" w:name="_Toc267059544"/>
      <w:bookmarkStart w:id="139" w:name="_Toc160880534"/>
      <w:bookmarkStart w:id="140" w:name="_Toc191803631"/>
      <w:bookmarkStart w:id="141" w:name="_Toc267059035"/>
      <w:bookmarkStart w:id="142" w:name="_Toc191783227"/>
      <w:bookmarkStart w:id="143" w:name="_Toc249325720"/>
      <w:bookmarkStart w:id="144" w:name="_Toc177985474"/>
      <w:bookmarkStart w:id="145" w:name="_Toc182372787"/>
      <w:bookmarkStart w:id="146" w:name="_Toc267060216"/>
      <w:bookmarkStart w:id="147" w:name="_Toc169332954"/>
      <w:bookmarkStart w:id="148" w:name="_Toc259520874"/>
      <w:bookmarkStart w:id="149" w:name="_Toc267060076"/>
      <w:bookmarkStart w:id="150" w:name="_Toc217891408"/>
      <w:bookmarkStart w:id="151" w:name="_Toc192663691"/>
      <w:bookmarkStart w:id="152" w:name="_Toc255975016"/>
      <w:bookmarkStart w:id="153" w:name="_Toc181436570"/>
      <w:bookmarkStart w:id="154" w:name="_Toc213756057"/>
      <w:bookmarkStart w:id="155" w:name="_Toc251613839"/>
      <w:bookmarkStart w:id="156" w:name="_Toc235437998"/>
      <w:bookmarkStart w:id="157" w:name="_Toc191789334"/>
      <w:bookmarkStart w:id="158" w:name="_Toc267059658"/>
      <w:bookmarkStart w:id="159" w:name="_Toc223146614"/>
      <w:bookmarkStart w:id="160" w:name="_Toc266868679"/>
      <w:bookmarkStart w:id="161" w:name="_Toc211917121"/>
      <w:bookmarkStart w:id="162" w:name="_Toc170798798"/>
      <w:bookmarkStart w:id="163" w:name="_Toc219800249"/>
      <w:bookmarkStart w:id="164" w:name="_Toc203355738"/>
      <w:bookmarkStart w:id="165" w:name="_Toc266870441"/>
      <w:bookmarkStart w:id="166" w:name="_Toc267060326"/>
      <w:bookmarkStart w:id="167" w:name="_Toc259692749"/>
      <w:bookmarkStart w:id="168" w:name="_Toc169332843"/>
      <w:bookmarkStart w:id="169" w:name="_Toc232302122"/>
      <w:bookmarkStart w:id="170" w:name="_Toc230071153"/>
      <w:bookmarkStart w:id="171" w:name="_Toc236021457"/>
      <w:bookmarkStart w:id="172" w:name="_Toc192664158"/>
      <w:bookmarkStart w:id="173" w:name="_Toc213756001"/>
      <w:bookmarkStart w:id="174" w:name="_Toc193160453"/>
      <w:bookmarkStart w:id="175" w:name="_Toc191802695"/>
      <w:bookmarkStart w:id="176" w:name="_Toc253066624"/>
      <w:bookmarkStart w:id="177" w:name="_Toc267059924"/>
      <w:bookmarkStart w:id="178" w:name="_Toc266870916"/>
      <w:bookmarkStart w:id="179" w:name="_Toc192663840"/>
      <w:bookmarkStart w:id="180" w:name="_Toc181436466"/>
      <w:bookmarkStart w:id="181" w:name="_Toc193165739"/>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Pr>
        <w:jc w:val="center"/>
        <w:outlineLvl w:val="1"/>
        <w:rPr>
          <w:rFonts w:ascii="仿宋" w:hAnsi="仿宋" w:eastAsia="仿宋"/>
          <w:b/>
          <w:bCs/>
          <w:sz w:val="28"/>
          <w:szCs w:val="28"/>
        </w:rPr>
      </w:pPr>
    </w:p>
    <w:p>
      <w:pPr>
        <w:jc w:val="center"/>
        <w:outlineLvl w:val="1"/>
        <w:rPr>
          <w:rFonts w:hint="eastAsia" w:ascii="仿宋" w:hAnsi="仿宋" w:eastAsia="仿宋"/>
          <w:b/>
          <w:bCs/>
          <w:sz w:val="28"/>
          <w:szCs w:val="28"/>
        </w:rPr>
      </w:pPr>
      <w:r>
        <w:rPr>
          <w:rFonts w:ascii="仿宋" w:hAnsi="仿宋" w:eastAsia="仿宋"/>
          <w:b/>
          <w:bCs/>
          <w:sz w:val="28"/>
          <w:szCs w:val="28"/>
        </w:rPr>
        <w:t>3</w:t>
      </w:r>
      <w:r>
        <w:rPr>
          <w:rFonts w:hint="eastAsia" w:ascii="仿宋" w:hAnsi="仿宋" w:eastAsia="仿宋"/>
          <w:b/>
          <w:bCs/>
          <w:sz w:val="28"/>
          <w:szCs w:val="28"/>
        </w:rPr>
        <w:t>、参与人的资质材料</w:t>
      </w:r>
    </w:p>
    <w:p>
      <w:pPr>
        <w:pStyle w:val="41"/>
      </w:pPr>
    </w:p>
    <w:p>
      <w:pPr>
        <w:spacing w:after="0" w:line="500" w:lineRule="exact"/>
        <w:rPr>
          <w:rFonts w:ascii="仿宋" w:hAnsi="仿宋" w:eastAsia="仿宋"/>
          <w:sz w:val="28"/>
          <w:szCs w:val="28"/>
        </w:rPr>
      </w:pPr>
      <w:r>
        <w:rPr>
          <w:rFonts w:hint="eastAsia" w:ascii="仿宋" w:hAnsi="仿宋" w:eastAsia="仿宋"/>
          <w:sz w:val="28"/>
          <w:szCs w:val="28"/>
        </w:rPr>
        <w:t>参与人需要提供以下材料：</w:t>
      </w:r>
    </w:p>
    <w:p>
      <w:pPr>
        <w:pStyle w:val="56"/>
        <w:numPr>
          <w:ilvl w:val="0"/>
          <w:numId w:val="3"/>
        </w:numPr>
        <w:spacing w:after="0" w:line="500" w:lineRule="exact"/>
        <w:ind w:firstLineChars="0"/>
        <w:rPr>
          <w:rFonts w:ascii="仿宋" w:hAnsi="仿宋" w:eastAsia="仿宋"/>
          <w:sz w:val="28"/>
          <w:szCs w:val="28"/>
        </w:rPr>
      </w:pPr>
      <w:r>
        <w:rPr>
          <w:rFonts w:hint="eastAsia" w:ascii="仿宋" w:hAnsi="仿宋" w:eastAsia="仿宋"/>
          <w:sz w:val="28"/>
          <w:szCs w:val="28"/>
        </w:rPr>
        <w:t>营业执照复印件</w:t>
      </w:r>
    </w:p>
    <w:p>
      <w:pPr>
        <w:pStyle w:val="56"/>
        <w:numPr>
          <w:ilvl w:val="0"/>
          <w:numId w:val="3"/>
        </w:numPr>
        <w:spacing w:after="0" w:line="500" w:lineRule="exact"/>
        <w:ind w:firstLineChars="0"/>
        <w:rPr>
          <w:rFonts w:ascii="仿宋" w:hAnsi="仿宋" w:eastAsia="仿宋"/>
          <w:sz w:val="28"/>
          <w:szCs w:val="28"/>
        </w:rPr>
      </w:pPr>
      <w:r>
        <w:rPr>
          <w:rFonts w:hint="eastAsia" w:ascii="仿宋" w:hAnsi="仿宋" w:eastAsia="仿宋"/>
          <w:sz w:val="28"/>
          <w:szCs w:val="28"/>
        </w:rPr>
        <w:t>授权经销商或代理商证明材料复印件</w:t>
      </w:r>
    </w:p>
    <w:p>
      <w:pPr>
        <w:pStyle w:val="56"/>
        <w:numPr>
          <w:ilvl w:val="0"/>
          <w:numId w:val="3"/>
        </w:numPr>
        <w:spacing w:after="0" w:line="500" w:lineRule="exact"/>
        <w:ind w:firstLineChars="0"/>
        <w:rPr>
          <w:rFonts w:ascii="仿宋" w:hAnsi="仿宋" w:eastAsia="仿宋"/>
          <w:sz w:val="28"/>
          <w:szCs w:val="28"/>
        </w:rPr>
      </w:pPr>
      <w:r>
        <w:rPr>
          <w:rFonts w:hint="eastAsia" w:ascii="仿宋" w:hAnsi="仿宋" w:eastAsia="仿宋"/>
          <w:sz w:val="28"/>
          <w:szCs w:val="28"/>
        </w:rPr>
        <w:t>质保期和售后服务承诺书（参与人自行起草）</w:t>
      </w:r>
    </w:p>
    <w:p>
      <w:pPr>
        <w:spacing w:line="380" w:lineRule="exact"/>
        <w:rPr>
          <w:rFonts w:ascii="仿宋" w:hAnsi="仿宋" w:eastAsia="仿宋"/>
          <w:sz w:val="28"/>
          <w:szCs w:val="28"/>
        </w:rPr>
      </w:pPr>
    </w:p>
    <w:p>
      <w:pPr>
        <w:spacing w:line="380" w:lineRule="exact"/>
        <w:rPr>
          <w:rFonts w:hint="eastAsia" w:ascii="仿宋" w:hAnsi="仿宋" w:eastAsia="仿宋"/>
          <w:b/>
          <w:bCs/>
          <w:sz w:val="28"/>
          <w:szCs w:val="28"/>
        </w:rPr>
      </w:pPr>
      <w:r>
        <w:rPr>
          <w:rFonts w:hint="eastAsia" w:ascii="仿宋" w:hAnsi="仿宋" w:eastAsia="仿宋"/>
          <w:b/>
          <w:bCs/>
          <w:sz w:val="28"/>
          <w:szCs w:val="28"/>
        </w:rPr>
        <w:t>以上材料复印件须加盖参与人公司公章，并与报价一览表一同密封</w:t>
      </w: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hint="eastAsia" w:ascii="仿宋" w:hAnsi="仿宋" w:eastAsia="仿宋"/>
          <w:b/>
          <w:bCs/>
          <w:sz w:val="28"/>
          <w:szCs w:val="28"/>
        </w:rPr>
      </w:pPr>
    </w:p>
    <w:p>
      <w:pPr>
        <w:spacing w:line="380" w:lineRule="exact"/>
        <w:rPr>
          <w:rFonts w:ascii="仿宋" w:hAnsi="仿宋" w:eastAsia="仿宋"/>
          <w:b/>
          <w:bCs/>
          <w:sz w:val="28"/>
          <w:szCs w:val="28"/>
        </w:rPr>
      </w:pPr>
    </w:p>
    <w:p>
      <w:pPr>
        <w:jc w:val="center"/>
        <w:outlineLvl w:val="1"/>
        <w:rPr>
          <w:rFonts w:ascii="仿宋" w:hAnsi="仿宋" w:eastAsia="仿宋"/>
          <w:b/>
          <w:sz w:val="28"/>
          <w:szCs w:val="28"/>
        </w:rPr>
      </w:pPr>
    </w:p>
    <w:p>
      <w:pPr>
        <w:pStyle w:val="58"/>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35438282"/>
      <w:bookmarkStart w:id="183" w:name="_Toc267060077"/>
      <w:bookmarkStart w:id="184" w:name="_Toc267060462"/>
      <w:bookmarkStart w:id="185" w:name="_Toc249325721"/>
      <w:bookmarkStart w:id="186" w:name="_Toc235437999"/>
      <w:bookmarkStart w:id="187" w:name="_Toc267060217"/>
      <w:bookmarkStart w:id="188" w:name="_Toc225669329"/>
      <w:bookmarkStart w:id="189" w:name="_Toc230071154"/>
      <w:bookmarkStart w:id="190" w:name="_Toc251613840"/>
      <w:bookmarkStart w:id="191" w:name="_Toc266870442"/>
      <w:bookmarkStart w:id="192" w:name="_Toc223146615"/>
      <w:bookmarkStart w:id="193" w:name="_Toc232302123"/>
      <w:bookmarkStart w:id="194" w:name="_Toc219800250"/>
      <w:bookmarkStart w:id="195" w:name="_Toc258401266"/>
      <w:bookmarkStart w:id="196" w:name="_Toc213756058"/>
      <w:bookmarkStart w:id="197" w:name="_Toc259692750"/>
      <w:bookmarkStart w:id="198" w:name="_Toc227058537"/>
      <w:bookmarkStart w:id="199" w:name="_Toc266870917"/>
      <w:bookmarkStart w:id="200" w:name="_Toc217891409"/>
      <w:bookmarkStart w:id="201" w:name="_Toc259520875"/>
      <w:bookmarkStart w:id="202" w:name="_Toc251586242"/>
      <w:bookmarkStart w:id="203" w:name="_Toc235438353"/>
      <w:bookmarkStart w:id="204" w:name="_Toc236021458"/>
      <w:bookmarkStart w:id="205" w:name="_Toc266868680"/>
      <w:bookmarkStart w:id="206" w:name="_Toc254790910"/>
      <w:bookmarkStart w:id="207" w:name="_Toc253066625"/>
      <w:bookmarkStart w:id="208" w:name="_Toc259692657"/>
      <w:bookmarkStart w:id="209" w:name="_Toc255975017"/>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sz w:val="28"/>
          <w:szCs w:val="28"/>
        </w:rPr>
      </w:pPr>
      <w:bookmarkStart w:id="210" w:name="_Hlk511663739"/>
      <w:r>
        <w:rPr>
          <w:rFonts w:hint="eastAsia" w:ascii="仿宋" w:hAnsi="仿宋" w:eastAsia="仿宋"/>
          <w:sz w:val="28"/>
          <w:szCs w:val="28"/>
        </w:rPr>
        <w:t>广州应用科技学院：</w:t>
      </w:r>
      <w:bookmarkEnd w:id="210"/>
    </w:p>
    <w:p>
      <w:pPr>
        <w:spacing w:after="0" w:line="500" w:lineRule="exact"/>
        <w:ind w:firstLine="560" w:firstLineChars="200"/>
        <w:jc w:val="left"/>
        <w:rPr>
          <w:rFonts w:ascii="仿宋" w:hAnsi="仿宋" w:eastAsia="仿宋"/>
          <w:sz w:val="28"/>
          <w:szCs w:val="28"/>
        </w:rPr>
      </w:pPr>
      <w:r>
        <w:rPr>
          <w:rFonts w:hint="eastAsia" w:ascii="仿宋" w:hAnsi="仿宋" w:eastAsia="仿宋"/>
          <w:sz w:val="28"/>
          <w:szCs w:val="28"/>
        </w:rPr>
        <w:t>关于贵方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hint="eastAsia" w:ascii="仿宋" w:hAnsi="仿宋" w:eastAsia="仿宋"/>
          <w:sz w:val="28"/>
          <w:szCs w:val="28"/>
        </w:rPr>
        <w:t xml:space="preserve"> （项目编号）公开询价邀请，本签字人愿意参加本次报价，提供公开询价文件中规定的</w:t>
      </w:r>
      <w:r>
        <w:rPr>
          <w:rFonts w:hint="eastAsia" w:ascii="仿宋" w:hAnsi="仿宋" w:eastAsia="仿宋"/>
          <w:sz w:val="28"/>
          <w:szCs w:val="28"/>
          <w:u w:val="single"/>
        </w:rPr>
        <w:t xml:space="preserve">                   </w:t>
      </w:r>
      <w:r>
        <w:rPr>
          <w:rFonts w:hint="eastAsia" w:ascii="仿宋" w:hAnsi="仿宋" w:eastAsia="仿宋"/>
          <w:sz w:val="28"/>
          <w:szCs w:val="28"/>
        </w:rPr>
        <w:t>货物，并证明提交的下列文件和说明是准确的和真实的。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2．我方的资格声明正本1份，副本2份，随报价响应文件一同递交。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25669330"/>
      <w:bookmarkStart w:id="212" w:name="_Toc251613841"/>
      <w:bookmarkStart w:id="213" w:name="_Toc253066626"/>
      <w:bookmarkStart w:id="214" w:name="_Toc259692658"/>
      <w:bookmarkStart w:id="215" w:name="_Toc266870443"/>
      <w:bookmarkStart w:id="216" w:name="_Toc227058538"/>
      <w:bookmarkStart w:id="217" w:name="_Toc259692751"/>
      <w:bookmarkStart w:id="218" w:name="_Toc259520876"/>
      <w:bookmarkStart w:id="219" w:name="_Toc235438283"/>
      <w:bookmarkStart w:id="220" w:name="_Toc232302124"/>
      <w:bookmarkStart w:id="221" w:name="_Toc254790911"/>
      <w:bookmarkStart w:id="222" w:name="_Toc258401267"/>
      <w:bookmarkStart w:id="223" w:name="_Toc223146616"/>
      <w:bookmarkStart w:id="224" w:name="_Toc219800251"/>
      <w:bookmarkStart w:id="225" w:name="_Toc217891410"/>
      <w:bookmarkStart w:id="226" w:name="_Toc251586243"/>
      <w:bookmarkStart w:id="227" w:name="_Toc235438000"/>
      <w:bookmarkStart w:id="228" w:name="_Toc266868681"/>
      <w:bookmarkStart w:id="229" w:name="_Toc255975018"/>
      <w:bookmarkStart w:id="230" w:name="_Toc249325722"/>
      <w:bookmarkStart w:id="231" w:name="_Toc230071155"/>
      <w:bookmarkStart w:id="232" w:name="_Toc235438354"/>
      <w:bookmarkStart w:id="233" w:name="_Toc213756059"/>
      <w:bookmarkStart w:id="234" w:name="_Toc266870918"/>
      <w:bookmarkStart w:id="235" w:name="_Toc236021459"/>
    </w:p>
    <w:p>
      <w:pPr>
        <w:jc w:val="center"/>
        <w:outlineLvl w:val="1"/>
        <w:rPr>
          <w:rFonts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sz w:val="28"/>
          <w:szCs w:val="28"/>
        </w:rPr>
      </w:pPr>
    </w:p>
    <w:p>
      <w:pPr>
        <w:spacing w:after="0" w:line="500" w:lineRule="exact"/>
        <w:rPr>
          <w:rFonts w:ascii="仿宋" w:hAnsi="仿宋" w:eastAsia="仿宋"/>
          <w:sz w:val="28"/>
          <w:szCs w:val="28"/>
        </w:rPr>
      </w:pPr>
      <w:r>
        <w:rPr>
          <w:rFonts w:hint="eastAsia" w:ascii="仿宋" w:hAnsi="仿宋" w:eastAsia="仿宋"/>
          <w:sz w:val="28"/>
          <w:szCs w:val="28"/>
        </w:rPr>
        <w:t>广州应用科技学院：</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11917124"/>
      <w:bookmarkStart w:id="237" w:name="_Toc266870447"/>
      <w:bookmarkStart w:id="238" w:name="_Toc235438357"/>
      <w:bookmarkStart w:id="239" w:name="_Toc192664161"/>
      <w:bookmarkStart w:id="240" w:name="_Toc249325725"/>
      <w:bookmarkStart w:id="241" w:name="_Toc182805225"/>
      <w:bookmarkStart w:id="242" w:name="_Toc267060465"/>
      <w:bookmarkStart w:id="243" w:name="_Toc258401272"/>
      <w:bookmarkStart w:id="244" w:name="_Toc267060221"/>
      <w:bookmarkStart w:id="245" w:name="_Toc255975021"/>
      <w:bookmarkStart w:id="246" w:name="_Toc191783230"/>
      <w:bookmarkStart w:id="247" w:name="_Toc236021462"/>
      <w:bookmarkStart w:id="248" w:name="_Toc180302921"/>
      <w:bookmarkStart w:id="249" w:name="_Toc267060081"/>
      <w:bookmarkStart w:id="250" w:name="_Toc267060080"/>
      <w:bookmarkStart w:id="251" w:name="_Toc266870446"/>
      <w:bookmarkStart w:id="252" w:name="_Toc181436469"/>
      <w:bookmarkStart w:id="253" w:name="_Toc169332846"/>
      <w:bookmarkStart w:id="254" w:name="_Toc255975023"/>
      <w:bookmarkStart w:id="255" w:name="_Toc170798801"/>
      <w:bookmarkStart w:id="256" w:name="_Toc267060220"/>
      <w:bookmarkStart w:id="257" w:name="_Toc169332957"/>
      <w:bookmarkStart w:id="258" w:name="_Toc266868686"/>
      <w:bookmarkStart w:id="259" w:name="_Toc160880537"/>
      <w:bookmarkStart w:id="260" w:name="_Toc259520881"/>
      <w:bookmarkStart w:id="261" w:name="_Toc251586246"/>
      <w:bookmarkStart w:id="262" w:name="_Toc254790916"/>
      <w:bookmarkStart w:id="263" w:name="_Toc251613844"/>
      <w:bookmarkStart w:id="264" w:name="_Toc192996454"/>
      <w:bookmarkStart w:id="265" w:name="_Toc267060466"/>
      <w:bookmarkStart w:id="266" w:name="_Toc191803634"/>
      <w:bookmarkStart w:id="267" w:name="_Toc191802698"/>
      <w:bookmarkStart w:id="268" w:name="_Toc193160456"/>
      <w:bookmarkStart w:id="269" w:name="_Toc253066629"/>
      <w:bookmarkStart w:id="270" w:name="_Toc193165742"/>
      <w:bookmarkStart w:id="271" w:name="_Toc177985477"/>
      <w:bookmarkStart w:id="272" w:name="_Toc160880168"/>
      <w:bookmarkStart w:id="273" w:name="_Toc266870921"/>
      <w:bookmarkStart w:id="274" w:name="_Toc235438286"/>
      <w:bookmarkStart w:id="275" w:name="_Toc232302127"/>
      <w:bookmarkStart w:id="276" w:name="_Toc259692754"/>
      <w:bookmarkStart w:id="277" w:name="_Toc192663843"/>
      <w:bookmarkStart w:id="278" w:name="_Toc182372790"/>
      <w:bookmarkStart w:id="279" w:name="_Toc258401270"/>
      <w:bookmarkStart w:id="280" w:name="_Toc254790914"/>
      <w:bookmarkStart w:id="281" w:name="_Toc259692663"/>
      <w:bookmarkStart w:id="282" w:name="_Toc259692756"/>
      <w:bookmarkStart w:id="283" w:name="_Toc259692661"/>
      <w:bookmarkStart w:id="284" w:name="_Toc266868684"/>
      <w:bookmarkStart w:id="285" w:name="_Toc266870922"/>
      <w:bookmarkStart w:id="286" w:name="_Toc235438003"/>
      <w:bookmarkStart w:id="287" w:name="_Toc203355741"/>
      <w:bookmarkStart w:id="288" w:name="_Toc181436573"/>
      <w:bookmarkStart w:id="289" w:name="_Toc191789337"/>
      <w:bookmarkStart w:id="290" w:name="_Toc192996346"/>
      <w:bookmarkStart w:id="291" w:name="_Toc259520879"/>
      <w:bookmarkStart w:id="292" w:name="_Toc192663694"/>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sz w:val="28"/>
          <w:szCs w:val="28"/>
        </w:rPr>
      </w:pPr>
      <w:bookmarkStart w:id="293" w:name="_Toc267059187"/>
      <w:bookmarkStart w:id="294" w:name="_Toc266870923"/>
      <w:bookmarkStart w:id="295" w:name="_Toc273178704"/>
      <w:bookmarkStart w:id="296" w:name="_Toc251613845"/>
      <w:bookmarkStart w:id="297" w:name="_Toc266870448"/>
      <w:bookmarkStart w:id="298" w:name="_Toc253066630"/>
      <w:bookmarkStart w:id="299" w:name="_Toc258401273"/>
      <w:bookmarkStart w:id="300" w:name="_Toc267059812"/>
      <w:bookmarkStart w:id="301" w:name="_Toc254790917"/>
      <w:bookmarkStart w:id="302" w:name="_Toc267060222"/>
      <w:bookmarkStart w:id="303" w:name="_Toc236021463"/>
      <w:bookmarkStart w:id="304" w:name="_Toc259692664"/>
      <w:bookmarkStart w:id="305" w:name="_Toc267059925"/>
      <w:bookmarkStart w:id="306" w:name="_Toc235438287"/>
      <w:bookmarkStart w:id="307" w:name="_Toc259520882"/>
      <w:bookmarkStart w:id="308" w:name="_Toc232302128"/>
      <w:bookmarkStart w:id="309" w:name="_Toc259692757"/>
      <w:bookmarkStart w:id="310" w:name="_Toc267059036"/>
      <w:bookmarkStart w:id="311" w:name="_Toc267060467"/>
      <w:bookmarkStart w:id="312" w:name="_Toc235438004"/>
      <w:bookmarkStart w:id="313" w:name="_Toc266870840"/>
      <w:bookmarkStart w:id="314" w:name="_Toc267060082"/>
      <w:bookmarkStart w:id="315" w:name="_Toc235438358"/>
      <w:bookmarkStart w:id="316" w:name="_Toc251586247"/>
      <w:bookmarkStart w:id="317" w:name="_Toc249325726"/>
      <w:bookmarkStart w:id="318" w:name="_Toc267059545"/>
      <w:bookmarkStart w:id="319" w:name="_Toc267059659"/>
      <w:bookmarkStart w:id="320" w:name="_Toc255975024"/>
      <w:bookmarkStart w:id="321" w:name="_Toc266868944"/>
      <w:bookmarkStart w:id="322" w:name="_Toc266868687"/>
      <w:bookmarkStart w:id="323" w:name="_Toc267060327"/>
      <w:r>
        <w:rPr>
          <w:rFonts w:ascii="仿宋" w:hAnsi="仿宋" w:eastAsia="仿宋"/>
          <w:b/>
          <w:bCs/>
          <w:sz w:val="28"/>
          <w:szCs w:val="28"/>
        </w:rPr>
        <w:t>4.</w:t>
      </w:r>
      <w:r>
        <w:rPr>
          <w:rFonts w:hint="eastAsia" w:ascii="仿宋" w:hAnsi="仿宋" w:eastAsia="仿宋"/>
          <w:b/>
          <w:bCs/>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rPr>
          <w:rFonts w:ascii="仿宋" w:hAnsi="仿宋" w:eastAsia="仿宋"/>
          <w:sz w:val="28"/>
          <w:szCs w:val="28"/>
        </w:rPr>
      </w:pPr>
    </w:p>
    <w:p>
      <w:pPr>
        <w:widowControl w:val="0"/>
        <w:spacing w:after="0" w:line="240" w:lineRule="auto"/>
        <w:ind w:left="420"/>
        <w:jc w:val="center"/>
        <w:outlineLvl w:val="1"/>
        <w:rPr>
          <w:rFonts w:ascii="仿宋" w:hAnsi="仿宋" w:eastAsia="仿宋"/>
          <w:b/>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rPr>
      <w:id w:val="1001938744"/>
    </w:sdtPr>
    <w:sdtEndPr>
      <w:rPr>
        <w:rFonts w:asciiTheme="minorEastAsia" w:hAnsiTheme="minorEastAsia"/>
      </w:rPr>
    </w:sdtEndPr>
    <w:sdtContent>
      <w:sdt>
        <w:sdtPr>
          <w:rPr>
            <w:rFonts w:asciiTheme="minorEastAsia" w:hAnsiTheme="minorEastAsia"/>
          </w:rPr>
          <w:id w:val="-1705238520"/>
        </w:sdtPr>
        <w:sdtEndPr>
          <w:rPr>
            <w:rFonts w:asciiTheme="minorEastAsia" w:hAnsiTheme="minorEastAsia"/>
          </w:rPr>
        </w:sdtEndPr>
        <w:sdtContent>
          <w:p>
            <w:pPr>
              <w:pStyle w:val="17"/>
              <w:jc w:val="center"/>
              <w:rPr>
                <w:rFonts w:asciiTheme="minorEastAsia" w:hAnsiTheme="minorEastAsia"/>
                <w:b/>
                <w:bCs/>
                <w:sz w:val="24"/>
                <w:szCs w:val="24"/>
              </w:rPr>
            </w:pPr>
            <w:r>
              <w:rPr>
                <w:rFonts w:asciiTheme="minorEastAsia" w:hAnsiTheme="minorEastAsia"/>
                <w:lang w:val="zh-CN"/>
              </w:rPr>
              <w:t xml:space="preserve"> </w:t>
            </w:r>
            <w:r>
              <w:rPr>
                <w:rFonts w:asciiTheme="minorEastAsia" w:hAnsiTheme="minorEastAsia"/>
                <w:b/>
                <w:bCs/>
                <w:sz w:val="24"/>
                <w:szCs w:val="24"/>
              </w:rPr>
              <w:fldChar w:fldCharType="begin"/>
            </w:r>
            <w:r>
              <w:rPr>
                <w:rFonts w:asciiTheme="minorEastAsia" w:hAnsiTheme="minorEastAsia"/>
                <w:b/>
                <w:bCs/>
              </w:rPr>
              <w:instrText xml:space="preserve">PAGE</w:instrText>
            </w:r>
            <w:r>
              <w:rPr>
                <w:rFonts w:asciiTheme="minorEastAsia" w:hAnsiTheme="minorEastAsia"/>
                <w:b/>
                <w:bCs/>
                <w:sz w:val="24"/>
                <w:szCs w:val="24"/>
              </w:rPr>
              <w:fldChar w:fldCharType="separate"/>
            </w:r>
            <w:r>
              <w:rPr>
                <w:rFonts w:asciiTheme="minorEastAsia" w:hAnsiTheme="minorEastAsia"/>
                <w:b/>
                <w:bCs/>
              </w:rPr>
              <w:t>9</w:t>
            </w:r>
            <w:r>
              <w:rPr>
                <w:rFonts w:asciiTheme="minorEastAsia" w:hAnsiTheme="minorEastAsia"/>
                <w:b/>
                <w:bCs/>
                <w:sz w:val="24"/>
                <w:szCs w:val="24"/>
              </w:rPr>
              <w:fldChar w:fldCharType="end"/>
            </w:r>
            <w:r>
              <w:rPr>
                <w:rFonts w:asciiTheme="minorEastAsia" w:hAnsiTheme="minorEastAsia"/>
                <w:lang w:val="zh-CN"/>
              </w:rPr>
              <w:t xml:space="preserve"> / </w:t>
            </w:r>
            <w:r>
              <w:rPr>
                <w:rFonts w:asciiTheme="minorEastAsia" w:hAnsiTheme="minorEastAsia"/>
                <w:b/>
                <w:bCs/>
                <w:sz w:val="24"/>
                <w:szCs w:val="24"/>
              </w:rPr>
              <w:fldChar w:fldCharType="begin"/>
            </w:r>
            <w:r>
              <w:rPr>
                <w:rFonts w:asciiTheme="minorEastAsia" w:hAnsiTheme="minorEastAsia"/>
                <w:b/>
                <w:bCs/>
              </w:rPr>
              <w:instrText xml:space="preserve">NUMPAGES</w:instrText>
            </w:r>
            <w:r>
              <w:rPr>
                <w:rFonts w:asciiTheme="minorEastAsia" w:hAnsiTheme="minorEastAsia"/>
                <w:b/>
                <w:bCs/>
                <w:sz w:val="24"/>
                <w:szCs w:val="24"/>
              </w:rPr>
              <w:fldChar w:fldCharType="separate"/>
            </w:r>
            <w:r>
              <w:rPr>
                <w:rFonts w:asciiTheme="minorEastAsia" w:hAnsiTheme="minorEastAsia"/>
                <w:b/>
                <w:bCs/>
              </w:rPr>
              <w:t>15</w:t>
            </w:r>
            <w:r>
              <w:rPr>
                <w:rFonts w:asciiTheme="minorEastAsia" w:hAnsiTheme="minorEastAsia"/>
                <w:b/>
                <w:bCs/>
                <w:sz w:val="24"/>
                <w:szCs w:val="24"/>
              </w:rPr>
              <w:fldChar w:fldCharType="end"/>
            </w:r>
            <w:r>
              <w:rPr>
                <w:rFonts w:asciiTheme="minorEastAsia" w:hAnsiTheme="minorEastAsia"/>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7"/>
              <w:jc w:val="center"/>
              <w:rPr>
                <w:b/>
                <w:bCs/>
                <w:sz w:val="24"/>
                <w:szCs w:val="24"/>
              </w:rPr>
            </w:pPr>
            <w:r>
              <w:rPr>
                <w:rFonts w:asciiTheme="majorEastAsia" w:hAnsiTheme="majorEastAsia" w:eastAsiaTheme="majorEastAsia"/>
                <w:lang w:val="zh-CN"/>
              </w:rPr>
              <w:t xml:space="preserve"> </w:t>
            </w:r>
            <w:r>
              <w:rPr>
                <w:rFonts w:asciiTheme="majorEastAsia" w:hAnsiTheme="majorEastAsia" w:eastAsiaTheme="majorEastAsia"/>
                <w:b/>
                <w:bCs/>
                <w:sz w:val="24"/>
                <w:szCs w:val="24"/>
              </w:rPr>
              <w:fldChar w:fldCharType="begin"/>
            </w:r>
            <w:r>
              <w:rPr>
                <w:rFonts w:asciiTheme="majorEastAsia" w:hAnsiTheme="majorEastAsia" w:eastAsiaTheme="majorEastAsia"/>
                <w:b/>
                <w:bCs/>
              </w:rPr>
              <w:instrText xml:space="preserve">PAGE</w:instrText>
            </w:r>
            <w:r>
              <w:rPr>
                <w:rFonts w:asciiTheme="majorEastAsia" w:hAnsiTheme="majorEastAsia" w:eastAsiaTheme="majorEastAsia"/>
                <w:b/>
                <w:bCs/>
                <w:sz w:val="24"/>
                <w:szCs w:val="24"/>
              </w:rPr>
              <w:fldChar w:fldCharType="separate"/>
            </w:r>
            <w:r>
              <w:rPr>
                <w:rFonts w:asciiTheme="majorEastAsia" w:hAnsiTheme="majorEastAsia" w:eastAsiaTheme="majorEastAsia"/>
                <w:b/>
                <w:bCs/>
              </w:rPr>
              <w:t>15</w:t>
            </w:r>
            <w:r>
              <w:rPr>
                <w:rFonts w:asciiTheme="majorEastAsia" w:hAnsiTheme="majorEastAsia" w:eastAsiaTheme="majorEastAsia"/>
                <w:b/>
                <w:bCs/>
                <w:sz w:val="24"/>
                <w:szCs w:val="24"/>
              </w:rPr>
              <w:fldChar w:fldCharType="end"/>
            </w:r>
            <w:r>
              <w:rPr>
                <w:rFonts w:asciiTheme="majorEastAsia" w:hAnsiTheme="majorEastAsia" w:eastAsiaTheme="majorEastAsia"/>
                <w:lang w:val="zh-CN"/>
              </w:rPr>
              <w:t xml:space="preserve"> / </w:t>
            </w:r>
            <w:r>
              <w:rPr>
                <w:rFonts w:asciiTheme="majorEastAsia" w:hAnsiTheme="majorEastAsia" w:eastAsiaTheme="majorEastAsia"/>
                <w:b/>
                <w:bCs/>
                <w:sz w:val="24"/>
                <w:szCs w:val="24"/>
              </w:rPr>
              <w:fldChar w:fldCharType="begin"/>
            </w:r>
            <w:r>
              <w:rPr>
                <w:rFonts w:asciiTheme="majorEastAsia" w:hAnsiTheme="majorEastAsia" w:eastAsiaTheme="majorEastAsia"/>
                <w:b/>
                <w:bCs/>
              </w:rPr>
              <w:instrText xml:space="preserve">NUMPAGES</w:instrText>
            </w:r>
            <w:r>
              <w:rPr>
                <w:rFonts w:asciiTheme="majorEastAsia" w:hAnsiTheme="majorEastAsia" w:eastAsiaTheme="majorEastAsia"/>
                <w:b/>
                <w:bCs/>
                <w:sz w:val="24"/>
                <w:szCs w:val="24"/>
              </w:rPr>
              <w:fldChar w:fldCharType="separate"/>
            </w:r>
            <w:r>
              <w:rPr>
                <w:rFonts w:asciiTheme="majorEastAsia" w:hAnsiTheme="majorEastAsia" w:eastAsiaTheme="majorEastAsia"/>
                <w:b/>
                <w:bCs/>
              </w:rPr>
              <w:t>16</w:t>
            </w:r>
            <w:r>
              <w:rPr>
                <w:rFonts w:asciiTheme="majorEastAsia" w:hAnsiTheme="majorEastAsia" w:eastAsiaTheme="majorEastAsia"/>
                <w:b/>
                <w:bCs/>
                <w:sz w:val="24"/>
                <w:szCs w:val="24"/>
              </w:rPr>
              <w:fldChar w:fldCharType="end"/>
            </w:r>
            <w:r>
              <w:rPr>
                <w:rFonts w:asciiTheme="majorEastAsia" w:hAnsiTheme="majorEastAsia" w:eastAsiaTheme="majorEastAsia"/>
                <w:b/>
                <w:bCs/>
                <w:sz w:val="24"/>
                <w:szCs w:val="24"/>
              </w:rPr>
              <w:t xml:space="preserve"> </w:t>
            </w:r>
            <w:r>
              <w:rPr>
                <w:b/>
                <w:bCs/>
                <w:sz w:val="24"/>
                <w:szCs w:val="24"/>
              </w:rPr>
              <w:t xml:space="preserve">       </w:t>
            </w:r>
          </w:p>
          <w:p>
            <w:pPr>
              <w:pStyle w:val="17"/>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广州应用科技学院肇庆校区关于</w:t>
    </w:r>
    <w:r>
      <w:rPr>
        <w:rFonts w:hint="eastAsia"/>
        <w:lang w:val="en-US" w:eastAsia="zh-CN"/>
      </w:rPr>
      <w:t>教学楼、实验楼</w:t>
    </w:r>
    <w:r>
      <w:rPr>
        <w:rFonts w:hint="eastAsia"/>
      </w:rPr>
      <w:t>办公家具采购及安装项目（项目编号：A-YQ2021-01）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广州应用科技学院肇庆校区关于院系办公家具采购及安装项目（项目编号：A-YQ2021-01）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广州应用科技学院肇庆校区关于院系办公家具采购及安装项目（项目编号：A-YQ2021-01）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F05F5D"/>
    <w:multiLevelType w:val="singleLevel"/>
    <w:tmpl w:val="2EF05F5D"/>
    <w:lvl w:ilvl="0" w:tentative="0">
      <w:start w:val="2"/>
      <w:numFmt w:val="chineseCounting"/>
      <w:suff w:val="nothing"/>
      <w:lvlText w:val="%1、"/>
      <w:lvlJc w:val="left"/>
      <w:rPr>
        <w:rFonts w:hint="eastAsia"/>
      </w:rPr>
    </w:lvl>
  </w:abstractNum>
  <w:abstractNum w:abstractNumId="2">
    <w:nsid w:val="5CCE0CAE"/>
    <w:multiLevelType w:val="multilevel"/>
    <w:tmpl w:val="5CCE0CAE"/>
    <w:lvl w:ilvl="0" w:tentative="0">
      <w:start w:val="1"/>
      <w:numFmt w:val="decimal"/>
      <w:lvlText w:val="%1."/>
      <w:lvlJc w:val="left"/>
      <w:pPr>
        <w:tabs>
          <w:tab w:val="left" w:pos="1270"/>
        </w:tabs>
        <w:ind w:left="1270"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9"/>
    <w:rsid w:val="0000490C"/>
    <w:rsid w:val="000107DF"/>
    <w:rsid w:val="000119EE"/>
    <w:rsid w:val="000569E1"/>
    <w:rsid w:val="00074B20"/>
    <w:rsid w:val="00082572"/>
    <w:rsid w:val="000934D4"/>
    <w:rsid w:val="000B243D"/>
    <w:rsid w:val="000D07CD"/>
    <w:rsid w:val="000F4F45"/>
    <w:rsid w:val="00100564"/>
    <w:rsid w:val="001037BF"/>
    <w:rsid w:val="00112C2C"/>
    <w:rsid w:val="0013118F"/>
    <w:rsid w:val="001561E9"/>
    <w:rsid w:val="001565E1"/>
    <w:rsid w:val="00176CD4"/>
    <w:rsid w:val="001772BC"/>
    <w:rsid w:val="00182C6E"/>
    <w:rsid w:val="001A5B43"/>
    <w:rsid w:val="001B719E"/>
    <w:rsid w:val="001C6943"/>
    <w:rsid w:val="001F0A44"/>
    <w:rsid w:val="001F5391"/>
    <w:rsid w:val="00202CD8"/>
    <w:rsid w:val="0020327C"/>
    <w:rsid w:val="002308CC"/>
    <w:rsid w:val="00235C32"/>
    <w:rsid w:val="00244E90"/>
    <w:rsid w:val="002631FB"/>
    <w:rsid w:val="002657F7"/>
    <w:rsid w:val="002772BB"/>
    <w:rsid w:val="002A0474"/>
    <w:rsid w:val="002A60AE"/>
    <w:rsid w:val="002A633A"/>
    <w:rsid w:val="002B67FE"/>
    <w:rsid w:val="002C2C3D"/>
    <w:rsid w:val="002C4297"/>
    <w:rsid w:val="002E3F58"/>
    <w:rsid w:val="002F3601"/>
    <w:rsid w:val="002F54A0"/>
    <w:rsid w:val="00307465"/>
    <w:rsid w:val="00321177"/>
    <w:rsid w:val="00334E6F"/>
    <w:rsid w:val="003570A0"/>
    <w:rsid w:val="003C36AA"/>
    <w:rsid w:val="003C60EF"/>
    <w:rsid w:val="003E6439"/>
    <w:rsid w:val="003F20A6"/>
    <w:rsid w:val="00404FA2"/>
    <w:rsid w:val="004242F4"/>
    <w:rsid w:val="0043243C"/>
    <w:rsid w:val="00441955"/>
    <w:rsid w:val="0046107F"/>
    <w:rsid w:val="00495C94"/>
    <w:rsid w:val="004A06FB"/>
    <w:rsid w:val="004B237B"/>
    <w:rsid w:val="004B3BAE"/>
    <w:rsid w:val="004B5937"/>
    <w:rsid w:val="004B6493"/>
    <w:rsid w:val="004B66B1"/>
    <w:rsid w:val="004C1600"/>
    <w:rsid w:val="00502F52"/>
    <w:rsid w:val="00516593"/>
    <w:rsid w:val="0055204C"/>
    <w:rsid w:val="00582530"/>
    <w:rsid w:val="00590957"/>
    <w:rsid w:val="005A5A4D"/>
    <w:rsid w:val="005F1FC8"/>
    <w:rsid w:val="00630374"/>
    <w:rsid w:val="006A5073"/>
    <w:rsid w:val="006D2FCE"/>
    <w:rsid w:val="006F3C71"/>
    <w:rsid w:val="006F5FBA"/>
    <w:rsid w:val="007010B2"/>
    <w:rsid w:val="00744D6B"/>
    <w:rsid w:val="007B0F09"/>
    <w:rsid w:val="007B2319"/>
    <w:rsid w:val="007D41E8"/>
    <w:rsid w:val="00820F76"/>
    <w:rsid w:val="00825F05"/>
    <w:rsid w:val="0084385A"/>
    <w:rsid w:val="00865B30"/>
    <w:rsid w:val="00874219"/>
    <w:rsid w:val="00884FE4"/>
    <w:rsid w:val="00886182"/>
    <w:rsid w:val="008902DC"/>
    <w:rsid w:val="00897895"/>
    <w:rsid w:val="009123D7"/>
    <w:rsid w:val="00916532"/>
    <w:rsid w:val="00923C7E"/>
    <w:rsid w:val="00936704"/>
    <w:rsid w:val="0094656D"/>
    <w:rsid w:val="009606BC"/>
    <w:rsid w:val="00967E57"/>
    <w:rsid w:val="009742AE"/>
    <w:rsid w:val="00977F2E"/>
    <w:rsid w:val="00980EE9"/>
    <w:rsid w:val="00994E59"/>
    <w:rsid w:val="009B7DAD"/>
    <w:rsid w:val="009C36CD"/>
    <w:rsid w:val="009C6D64"/>
    <w:rsid w:val="00A148CE"/>
    <w:rsid w:val="00A24465"/>
    <w:rsid w:val="00A40610"/>
    <w:rsid w:val="00A41FC5"/>
    <w:rsid w:val="00A4220E"/>
    <w:rsid w:val="00A44A63"/>
    <w:rsid w:val="00A64A5B"/>
    <w:rsid w:val="00A72B08"/>
    <w:rsid w:val="00A72CC5"/>
    <w:rsid w:val="00AD29A3"/>
    <w:rsid w:val="00AF3C2A"/>
    <w:rsid w:val="00B14C37"/>
    <w:rsid w:val="00B50E01"/>
    <w:rsid w:val="00B54440"/>
    <w:rsid w:val="00B554E7"/>
    <w:rsid w:val="00B8043F"/>
    <w:rsid w:val="00BD49FB"/>
    <w:rsid w:val="00BD7232"/>
    <w:rsid w:val="00BE1921"/>
    <w:rsid w:val="00BE67DC"/>
    <w:rsid w:val="00C035B5"/>
    <w:rsid w:val="00C2393B"/>
    <w:rsid w:val="00C62562"/>
    <w:rsid w:val="00C64085"/>
    <w:rsid w:val="00C66E1E"/>
    <w:rsid w:val="00C676BA"/>
    <w:rsid w:val="00C81AB4"/>
    <w:rsid w:val="00C857BF"/>
    <w:rsid w:val="00CA25CB"/>
    <w:rsid w:val="00CD682A"/>
    <w:rsid w:val="00CF4973"/>
    <w:rsid w:val="00D00174"/>
    <w:rsid w:val="00D2102C"/>
    <w:rsid w:val="00D36D52"/>
    <w:rsid w:val="00D56DEA"/>
    <w:rsid w:val="00D826E9"/>
    <w:rsid w:val="00D8657F"/>
    <w:rsid w:val="00DA4D45"/>
    <w:rsid w:val="00E11567"/>
    <w:rsid w:val="00E3310A"/>
    <w:rsid w:val="00E33B9E"/>
    <w:rsid w:val="00E33C1C"/>
    <w:rsid w:val="00E367DF"/>
    <w:rsid w:val="00E46E86"/>
    <w:rsid w:val="00E804D4"/>
    <w:rsid w:val="00E95973"/>
    <w:rsid w:val="00ED2437"/>
    <w:rsid w:val="00EE3803"/>
    <w:rsid w:val="00EF4425"/>
    <w:rsid w:val="00F0149B"/>
    <w:rsid w:val="00F31A23"/>
    <w:rsid w:val="00F33D10"/>
    <w:rsid w:val="00F700F6"/>
    <w:rsid w:val="00F8646A"/>
    <w:rsid w:val="00F876DE"/>
    <w:rsid w:val="00FC6EBD"/>
    <w:rsid w:val="00FF1750"/>
    <w:rsid w:val="00FF655F"/>
    <w:rsid w:val="010027A9"/>
    <w:rsid w:val="01075C50"/>
    <w:rsid w:val="01211311"/>
    <w:rsid w:val="01217AD4"/>
    <w:rsid w:val="01354AFB"/>
    <w:rsid w:val="013F0167"/>
    <w:rsid w:val="013F4D5E"/>
    <w:rsid w:val="0144032D"/>
    <w:rsid w:val="01454237"/>
    <w:rsid w:val="016B189C"/>
    <w:rsid w:val="017261AF"/>
    <w:rsid w:val="017A157A"/>
    <w:rsid w:val="01890F63"/>
    <w:rsid w:val="01905215"/>
    <w:rsid w:val="01916EF7"/>
    <w:rsid w:val="01935647"/>
    <w:rsid w:val="01974BD6"/>
    <w:rsid w:val="01AA0695"/>
    <w:rsid w:val="01AE4D88"/>
    <w:rsid w:val="01D03C7C"/>
    <w:rsid w:val="01D117D2"/>
    <w:rsid w:val="01DB017F"/>
    <w:rsid w:val="01EC2D95"/>
    <w:rsid w:val="01ED7547"/>
    <w:rsid w:val="01F24A7A"/>
    <w:rsid w:val="02132329"/>
    <w:rsid w:val="02133ACE"/>
    <w:rsid w:val="021436E1"/>
    <w:rsid w:val="02170C66"/>
    <w:rsid w:val="02371B09"/>
    <w:rsid w:val="023809D7"/>
    <w:rsid w:val="023A6E8F"/>
    <w:rsid w:val="023B011E"/>
    <w:rsid w:val="023D3D37"/>
    <w:rsid w:val="023D552F"/>
    <w:rsid w:val="02414FCE"/>
    <w:rsid w:val="02532C69"/>
    <w:rsid w:val="02586D8E"/>
    <w:rsid w:val="026E15FD"/>
    <w:rsid w:val="02755945"/>
    <w:rsid w:val="027B328A"/>
    <w:rsid w:val="028E3667"/>
    <w:rsid w:val="02DC1057"/>
    <w:rsid w:val="02F82DE7"/>
    <w:rsid w:val="0306504B"/>
    <w:rsid w:val="030C7086"/>
    <w:rsid w:val="030E7F75"/>
    <w:rsid w:val="0320352D"/>
    <w:rsid w:val="03227D82"/>
    <w:rsid w:val="03252151"/>
    <w:rsid w:val="032828E7"/>
    <w:rsid w:val="0344681F"/>
    <w:rsid w:val="03452E45"/>
    <w:rsid w:val="035244A0"/>
    <w:rsid w:val="03733C93"/>
    <w:rsid w:val="037414D1"/>
    <w:rsid w:val="03782A11"/>
    <w:rsid w:val="037A5CAA"/>
    <w:rsid w:val="037B2E91"/>
    <w:rsid w:val="039A14F3"/>
    <w:rsid w:val="039B70F4"/>
    <w:rsid w:val="03A927EA"/>
    <w:rsid w:val="03B071FD"/>
    <w:rsid w:val="03BC2145"/>
    <w:rsid w:val="03E3195B"/>
    <w:rsid w:val="03EB28BB"/>
    <w:rsid w:val="03FB3208"/>
    <w:rsid w:val="04092F11"/>
    <w:rsid w:val="04170D36"/>
    <w:rsid w:val="0423326B"/>
    <w:rsid w:val="04267C28"/>
    <w:rsid w:val="043B2486"/>
    <w:rsid w:val="043C3A2E"/>
    <w:rsid w:val="043D450A"/>
    <w:rsid w:val="044402F3"/>
    <w:rsid w:val="04491DDE"/>
    <w:rsid w:val="044C03CB"/>
    <w:rsid w:val="046F0D0D"/>
    <w:rsid w:val="04773F22"/>
    <w:rsid w:val="047A1D9C"/>
    <w:rsid w:val="048E631B"/>
    <w:rsid w:val="04A1597B"/>
    <w:rsid w:val="04B77B49"/>
    <w:rsid w:val="04BA7114"/>
    <w:rsid w:val="04BB1C58"/>
    <w:rsid w:val="04CF3E95"/>
    <w:rsid w:val="04DB09A0"/>
    <w:rsid w:val="04DB5959"/>
    <w:rsid w:val="04E04069"/>
    <w:rsid w:val="04ED2B78"/>
    <w:rsid w:val="04F60D25"/>
    <w:rsid w:val="04FB3083"/>
    <w:rsid w:val="04FD6A6D"/>
    <w:rsid w:val="0502664A"/>
    <w:rsid w:val="05146FB8"/>
    <w:rsid w:val="05151869"/>
    <w:rsid w:val="051D2D3C"/>
    <w:rsid w:val="051E5889"/>
    <w:rsid w:val="05204B46"/>
    <w:rsid w:val="052279D1"/>
    <w:rsid w:val="052D7C9F"/>
    <w:rsid w:val="053E017A"/>
    <w:rsid w:val="054E4CE2"/>
    <w:rsid w:val="05505E8B"/>
    <w:rsid w:val="05574784"/>
    <w:rsid w:val="055D4C4C"/>
    <w:rsid w:val="058361B6"/>
    <w:rsid w:val="058730EE"/>
    <w:rsid w:val="058749DE"/>
    <w:rsid w:val="05914F88"/>
    <w:rsid w:val="05A25E12"/>
    <w:rsid w:val="05A713F6"/>
    <w:rsid w:val="05C85977"/>
    <w:rsid w:val="05CA07EB"/>
    <w:rsid w:val="05CE0966"/>
    <w:rsid w:val="05D165FB"/>
    <w:rsid w:val="05DE1820"/>
    <w:rsid w:val="05E3258B"/>
    <w:rsid w:val="05E37B4A"/>
    <w:rsid w:val="05ED4502"/>
    <w:rsid w:val="06073EA3"/>
    <w:rsid w:val="0608729D"/>
    <w:rsid w:val="061542D7"/>
    <w:rsid w:val="061B4FA7"/>
    <w:rsid w:val="061F7C70"/>
    <w:rsid w:val="06303F3D"/>
    <w:rsid w:val="0634771A"/>
    <w:rsid w:val="06566006"/>
    <w:rsid w:val="0658145C"/>
    <w:rsid w:val="06640B20"/>
    <w:rsid w:val="066E5E39"/>
    <w:rsid w:val="0678641D"/>
    <w:rsid w:val="06917F4F"/>
    <w:rsid w:val="06940960"/>
    <w:rsid w:val="069E1159"/>
    <w:rsid w:val="06A61C56"/>
    <w:rsid w:val="06C0675A"/>
    <w:rsid w:val="06C14C43"/>
    <w:rsid w:val="06C6314E"/>
    <w:rsid w:val="06C6529D"/>
    <w:rsid w:val="06CA02BC"/>
    <w:rsid w:val="06CB3D02"/>
    <w:rsid w:val="06D6132A"/>
    <w:rsid w:val="06D624B3"/>
    <w:rsid w:val="06F17FA8"/>
    <w:rsid w:val="06F21494"/>
    <w:rsid w:val="06F56CE6"/>
    <w:rsid w:val="06F80782"/>
    <w:rsid w:val="07011602"/>
    <w:rsid w:val="070A65A8"/>
    <w:rsid w:val="070D014F"/>
    <w:rsid w:val="070E2EE1"/>
    <w:rsid w:val="07213CDD"/>
    <w:rsid w:val="072D2E33"/>
    <w:rsid w:val="07310D86"/>
    <w:rsid w:val="07384E23"/>
    <w:rsid w:val="07452A96"/>
    <w:rsid w:val="074D1159"/>
    <w:rsid w:val="07566147"/>
    <w:rsid w:val="075A3664"/>
    <w:rsid w:val="07656519"/>
    <w:rsid w:val="0768327A"/>
    <w:rsid w:val="076B1B41"/>
    <w:rsid w:val="076B2999"/>
    <w:rsid w:val="076F6809"/>
    <w:rsid w:val="07780D3C"/>
    <w:rsid w:val="0786487E"/>
    <w:rsid w:val="079A0D02"/>
    <w:rsid w:val="079B58DE"/>
    <w:rsid w:val="079C4F8E"/>
    <w:rsid w:val="079F291F"/>
    <w:rsid w:val="07B02E33"/>
    <w:rsid w:val="07B23BCD"/>
    <w:rsid w:val="07E7498F"/>
    <w:rsid w:val="07E83B1B"/>
    <w:rsid w:val="07F607A9"/>
    <w:rsid w:val="080074CE"/>
    <w:rsid w:val="080376BF"/>
    <w:rsid w:val="080E797A"/>
    <w:rsid w:val="080F215C"/>
    <w:rsid w:val="08126B4C"/>
    <w:rsid w:val="081A1CEE"/>
    <w:rsid w:val="08282F7E"/>
    <w:rsid w:val="083D6278"/>
    <w:rsid w:val="0842120D"/>
    <w:rsid w:val="08435969"/>
    <w:rsid w:val="08502195"/>
    <w:rsid w:val="086639A8"/>
    <w:rsid w:val="086A049C"/>
    <w:rsid w:val="087F0C8D"/>
    <w:rsid w:val="0893152A"/>
    <w:rsid w:val="08953738"/>
    <w:rsid w:val="0896120F"/>
    <w:rsid w:val="08973759"/>
    <w:rsid w:val="08A363E2"/>
    <w:rsid w:val="08A946FB"/>
    <w:rsid w:val="08AB3109"/>
    <w:rsid w:val="08B105C4"/>
    <w:rsid w:val="08B92F6A"/>
    <w:rsid w:val="08C91A4C"/>
    <w:rsid w:val="08CB261C"/>
    <w:rsid w:val="08CC6BAF"/>
    <w:rsid w:val="08CE280F"/>
    <w:rsid w:val="09051F2D"/>
    <w:rsid w:val="091E44AD"/>
    <w:rsid w:val="091F4893"/>
    <w:rsid w:val="09257E75"/>
    <w:rsid w:val="09270423"/>
    <w:rsid w:val="09295F2E"/>
    <w:rsid w:val="09411D16"/>
    <w:rsid w:val="09417D26"/>
    <w:rsid w:val="09480337"/>
    <w:rsid w:val="095307DC"/>
    <w:rsid w:val="09631102"/>
    <w:rsid w:val="097B1719"/>
    <w:rsid w:val="097F2E33"/>
    <w:rsid w:val="0981604F"/>
    <w:rsid w:val="09820A38"/>
    <w:rsid w:val="09941014"/>
    <w:rsid w:val="0996221C"/>
    <w:rsid w:val="099C5545"/>
    <w:rsid w:val="09AA6CCD"/>
    <w:rsid w:val="09AB6A3E"/>
    <w:rsid w:val="09B32EEC"/>
    <w:rsid w:val="09B724E8"/>
    <w:rsid w:val="09FF0D63"/>
    <w:rsid w:val="0A006F48"/>
    <w:rsid w:val="0A2C5121"/>
    <w:rsid w:val="0A3674A9"/>
    <w:rsid w:val="0A472987"/>
    <w:rsid w:val="0A505741"/>
    <w:rsid w:val="0A554F39"/>
    <w:rsid w:val="0A577909"/>
    <w:rsid w:val="0A5C2C83"/>
    <w:rsid w:val="0A6224C4"/>
    <w:rsid w:val="0A671E4F"/>
    <w:rsid w:val="0A685022"/>
    <w:rsid w:val="0A8150CF"/>
    <w:rsid w:val="0A822602"/>
    <w:rsid w:val="0A8F1C8E"/>
    <w:rsid w:val="0A91457B"/>
    <w:rsid w:val="0A923C49"/>
    <w:rsid w:val="0A9A7C5F"/>
    <w:rsid w:val="0A9A7CF9"/>
    <w:rsid w:val="0AA244B0"/>
    <w:rsid w:val="0AA6646A"/>
    <w:rsid w:val="0AA7086D"/>
    <w:rsid w:val="0AAA1B16"/>
    <w:rsid w:val="0AC14878"/>
    <w:rsid w:val="0ACE3670"/>
    <w:rsid w:val="0ACE78E7"/>
    <w:rsid w:val="0AD126A8"/>
    <w:rsid w:val="0AD16695"/>
    <w:rsid w:val="0ADA3ABF"/>
    <w:rsid w:val="0ADF1072"/>
    <w:rsid w:val="0AE65093"/>
    <w:rsid w:val="0AEE2C02"/>
    <w:rsid w:val="0AFB2F7E"/>
    <w:rsid w:val="0B0342E9"/>
    <w:rsid w:val="0B125D35"/>
    <w:rsid w:val="0B1C1AE1"/>
    <w:rsid w:val="0B2F35AF"/>
    <w:rsid w:val="0B2F6700"/>
    <w:rsid w:val="0B3A3E14"/>
    <w:rsid w:val="0B3B3819"/>
    <w:rsid w:val="0B454D1A"/>
    <w:rsid w:val="0B4B4321"/>
    <w:rsid w:val="0B533DF3"/>
    <w:rsid w:val="0B55341C"/>
    <w:rsid w:val="0B585BB6"/>
    <w:rsid w:val="0B5E60A8"/>
    <w:rsid w:val="0B706B08"/>
    <w:rsid w:val="0B784471"/>
    <w:rsid w:val="0B7D3C82"/>
    <w:rsid w:val="0B7E00FE"/>
    <w:rsid w:val="0B7E4B17"/>
    <w:rsid w:val="0B921B5C"/>
    <w:rsid w:val="0B922DC0"/>
    <w:rsid w:val="0BB34E49"/>
    <w:rsid w:val="0BCC30CB"/>
    <w:rsid w:val="0BD416D6"/>
    <w:rsid w:val="0BDF19F8"/>
    <w:rsid w:val="0BEA114E"/>
    <w:rsid w:val="0C0D5767"/>
    <w:rsid w:val="0C0F0787"/>
    <w:rsid w:val="0C134D1A"/>
    <w:rsid w:val="0C1E7645"/>
    <w:rsid w:val="0C211C78"/>
    <w:rsid w:val="0C32336D"/>
    <w:rsid w:val="0C363830"/>
    <w:rsid w:val="0C423526"/>
    <w:rsid w:val="0C436F15"/>
    <w:rsid w:val="0C4E68F0"/>
    <w:rsid w:val="0C541E77"/>
    <w:rsid w:val="0C7548F0"/>
    <w:rsid w:val="0C756B21"/>
    <w:rsid w:val="0C7B4185"/>
    <w:rsid w:val="0C8570B4"/>
    <w:rsid w:val="0C960EA8"/>
    <w:rsid w:val="0CC904E6"/>
    <w:rsid w:val="0CCC4147"/>
    <w:rsid w:val="0CE752F7"/>
    <w:rsid w:val="0D000EC6"/>
    <w:rsid w:val="0D0D1B43"/>
    <w:rsid w:val="0D145DF8"/>
    <w:rsid w:val="0D230E0D"/>
    <w:rsid w:val="0D253191"/>
    <w:rsid w:val="0D3E7381"/>
    <w:rsid w:val="0D4173EC"/>
    <w:rsid w:val="0D4A15E9"/>
    <w:rsid w:val="0D4F5FB5"/>
    <w:rsid w:val="0D5828CC"/>
    <w:rsid w:val="0D5F14E2"/>
    <w:rsid w:val="0D617D4A"/>
    <w:rsid w:val="0D692EDB"/>
    <w:rsid w:val="0D6D569B"/>
    <w:rsid w:val="0D7B3F86"/>
    <w:rsid w:val="0D834450"/>
    <w:rsid w:val="0D851A4C"/>
    <w:rsid w:val="0D8D5578"/>
    <w:rsid w:val="0D965FF9"/>
    <w:rsid w:val="0DA618AD"/>
    <w:rsid w:val="0DA954A2"/>
    <w:rsid w:val="0DB21477"/>
    <w:rsid w:val="0DB35604"/>
    <w:rsid w:val="0DCD313D"/>
    <w:rsid w:val="0DD3234F"/>
    <w:rsid w:val="0DDA62C4"/>
    <w:rsid w:val="0DE11828"/>
    <w:rsid w:val="0DF46CC9"/>
    <w:rsid w:val="0E0736E9"/>
    <w:rsid w:val="0E1F2889"/>
    <w:rsid w:val="0E2668E1"/>
    <w:rsid w:val="0E580138"/>
    <w:rsid w:val="0E5902EF"/>
    <w:rsid w:val="0E5D2983"/>
    <w:rsid w:val="0E621E00"/>
    <w:rsid w:val="0E9B4685"/>
    <w:rsid w:val="0EA61C04"/>
    <w:rsid w:val="0EA74BB8"/>
    <w:rsid w:val="0EA816CB"/>
    <w:rsid w:val="0EAE187B"/>
    <w:rsid w:val="0EC14608"/>
    <w:rsid w:val="0EC44A20"/>
    <w:rsid w:val="0ECC1454"/>
    <w:rsid w:val="0ECE0DD5"/>
    <w:rsid w:val="0EE32595"/>
    <w:rsid w:val="0EF80B03"/>
    <w:rsid w:val="0EF97774"/>
    <w:rsid w:val="0F036041"/>
    <w:rsid w:val="0F04421E"/>
    <w:rsid w:val="0F0E0397"/>
    <w:rsid w:val="0F1D778E"/>
    <w:rsid w:val="0F20415F"/>
    <w:rsid w:val="0F323479"/>
    <w:rsid w:val="0F3A4479"/>
    <w:rsid w:val="0F432EDA"/>
    <w:rsid w:val="0F446F5E"/>
    <w:rsid w:val="0F4B440C"/>
    <w:rsid w:val="0F4D205F"/>
    <w:rsid w:val="0F503C93"/>
    <w:rsid w:val="0F662F6A"/>
    <w:rsid w:val="0F6951C0"/>
    <w:rsid w:val="0F70329D"/>
    <w:rsid w:val="0F94672A"/>
    <w:rsid w:val="0F973F53"/>
    <w:rsid w:val="0FA2197A"/>
    <w:rsid w:val="0FA706F2"/>
    <w:rsid w:val="0FEC4500"/>
    <w:rsid w:val="0FF070DC"/>
    <w:rsid w:val="0FF44FE2"/>
    <w:rsid w:val="100707BA"/>
    <w:rsid w:val="100C437F"/>
    <w:rsid w:val="101518FE"/>
    <w:rsid w:val="101927DE"/>
    <w:rsid w:val="101979CF"/>
    <w:rsid w:val="101C207A"/>
    <w:rsid w:val="101F47F7"/>
    <w:rsid w:val="10211526"/>
    <w:rsid w:val="1025306A"/>
    <w:rsid w:val="10386741"/>
    <w:rsid w:val="10726520"/>
    <w:rsid w:val="10727842"/>
    <w:rsid w:val="109D31E8"/>
    <w:rsid w:val="10B25A1E"/>
    <w:rsid w:val="10C00699"/>
    <w:rsid w:val="10D32C39"/>
    <w:rsid w:val="10E33428"/>
    <w:rsid w:val="10EF4175"/>
    <w:rsid w:val="10F77901"/>
    <w:rsid w:val="110F27E0"/>
    <w:rsid w:val="111B3DF6"/>
    <w:rsid w:val="111D1335"/>
    <w:rsid w:val="111D3F1A"/>
    <w:rsid w:val="11310FAF"/>
    <w:rsid w:val="113B2017"/>
    <w:rsid w:val="113F25D5"/>
    <w:rsid w:val="11456215"/>
    <w:rsid w:val="114D228D"/>
    <w:rsid w:val="116F24A6"/>
    <w:rsid w:val="117607D6"/>
    <w:rsid w:val="11775299"/>
    <w:rsid w:val="117762DE"/>
    <w:rsid w:val="117F4A79"/>
    <w:rsid w:val="1185387D"/>
    <w:rsid w:val="11890DD8"/>
    <w:rsid w:val="11891C15"/>
    <w:rsid w:val="1198732B"/>
    <w:rsid w:val="11A0098B"/>
    <w:rsid w:val="11B42769"/>
    <w:rsid w:val="11C650B8"/>
    <w:rsid w:val="11C901B4"/>
    <w:rsid w:val="11D00D13"/>
    <w:rsid w:val="11E35C55"/>
    <w:rsid w:val="11E64D19"/>
    <w:rsid w:val="11FB443A"/>
    <w:rsid w:val="11FB6908"/>
    <w:rsid w:val="120A6B10"/>
    <w:rsid w:val="121047C4"/>
    <w:rsid w:val="1215765C"/>
    <w:rsid w:val="121C67BB"/>
    <w:rsid w:val="12233BD4"/>
    <w:rsid w:val="12236CC3"/>
    <w:rsid w:val="12302FA3"/>
    <w:rsid w:val="12314260"/>
    <w:rsid w:val="124947A7"/>
    <w:rsid w:val="12505FD0"/>
    <w:rsid w:val="12697CB6"/>
    <w:rsid w:val="12880061"/>
    <w:rsid w:val="128B375F"/>
    <w:rsid w:val="12922B3E"/>
    <w:rsid w:val="12A14092"/>
    <w:rsid w:val="12A51308"/>
    <w:rsid w:val="12A73F0C"/>
    <w:rsid w:val="12AC1E32"/>
    <w:rsid w:val="12AF7889"/>
    <w:rsid w:val="12B71B35"/>
    <w:rsid w:val="12BC40FD"/>
    <w:rsid w:val="12BD3832"/>
    <w:rsid w:val="12BD5D2B"/>
    <w:rsid w:val="12D92AFD"/>
    <w:rsid w:val="12D96C85"/>
    <w:rsid w:val="12E16ACF"/>
    <w:rsid w:val="12E36355"/>
    <w:rsid w:val="12E77D82"/>
    <w:rsid w:val="12E96E1D"/>
    <w:rsid w:val="12EA7C48"/>
    <w:rsid w:val="12EC20F0"/>
    <w:rsid w:val="12F907C2"/>
    <w:rsid w:val="12FC30D8"/>
    <w:rsid w:val="13137FD7"/>
    <w:rsid w:val="13171102"/>
    <w:rsid w:val="13312F26"/>
    <w:rsid w:val="134A2DD5"/>
    <w:rsid w:val="13505F8F"/>
    <w:rsid w:val="13513862"/>
    <w:rsid w:val="135E7593"/>
    <w:rsid w:val="13693E4D"/>
    <w:rsid w:val="13752FC0"/>
    <w:rsid w:val="13781D9D"/>
    <w:rsid w:val="137D38BC"/>
    <w:rsid w:val="138114CC"/>
    <w:rsid w:val="139F3BD1"/>
    <w:rsid w:val="13B132D8"/>
    <w:rsid w:val="13B50007"/>
    <w:rsid w:val="13BC0DA1"/>
    <w:rsid w:val="13CA3191"/>
    <w:rsid w:val="13CE126D"/>
    <w:rsid w:val="13D16EBC"/>
    <w:rsid w:val="13E41981"/>
    <w:rsid w:val="13E97938"/>
    <w:rsid w:val="13F77BFB"/>
    <w:rsid w:val="140025EB"/>
    <w:rsid w:val="140249A9"/>
    <w:rsid w:val="140775F8"/>
    <w:rsid w:val="14222801"/>
    <w:rsid w:val="142E322B"/>
    <w:rsid w:val="14372263"/>
    <w:rsid w:val="1444093F"/>
    <w:rsid w:val="144B6240"/>
    <w:rsid w:val="14521CAB"/>
    <w:rsid w:val="1458016B"/>
    <w:rsid w:val="14623C9E"/>
    <w:rsid w:val="146A47FA"/>
    <w:rsid w:val="14A5722C"/>
    <w:rsid w:val="14A66505"/>
    <w:rsid w:val="14AD3FC8"/>
    <w:rsid w:val="14BC2C71"/>
    <w:rsid w:val="14BC7892"/>
    <w:rsid w:val="14C60647"/>
    <w:rsid w:val="14CC00F9"/>
    <w:rsid w:val="14CC5B23"/>
    <w:rsid w:val="14F45A7F"/>
    <w:rsid w:val="14F701A5"/>
    <w:rsid w:val="15151AA3"/>
    <w:rsid w:val="152B477D"/>
    <w:rsid w:val="152D5C2C"/>
    <w:rsid w:val="15365F8D"/>
    <w:rsid w:val="15477096"/>
    <w:rsid w:val="157B3610"/>
    <w:rsid w:val="15992B89"/>
    <w:rsid w:val="159D0EC4"/>
    <w:rsid w:val="159F3C61"/>
    <w:rsid w:val="15A16058"/>
    <w:rsid w:val="15AF5BDE"/>
    <w:rsid w:val="15BC4797"/>
    <w:rsid w:val="15C207CF"/>
    <w:rsid w:val="15C54B4C"/>
    <w:rsid w:val="15CB6632"/>
    <w:rsid w:val="15D220F6"/>
    <w:rsid w:val="15E66AF5"/>
    <w:rsid w:val="15F066A7"/>
    <w:rsid w:val="15FE6C17"/>
    <w:rsid w:val="1600793C"/>
    <w:rsid w:val="16010D36"/>
    <w:rsid w:val="16114A8D"/>
    <w:rsid w:val="161171F4"/>
    <w:rsid w:val="16131FA8"/>
    <w:rsid w:val="164179C1"/>
    <w:rsid w:val="16457F0B"/>
    <w:rsid w:val="164B5E95"/>
    <w:rsid w:val="165A5200"/>
    <w:rsid w:val="166954C8"/>
    <w:rsid w:val="166A433D"/>
    <w:rsid w:val="166E02F4"/>
    <w:rsid w:val="16707132"/>
    <w:rsid w:val="16795990"/>
    <w:rsid w:val="16805552"/>
    <w:rsid w:val="16843798"/>
    <w:rsid w:val="169F11E1"/>
    <w:rsid w:val="16B116AF"/>
    <w:rsid w:val="16B92409"/>
    <w:rsid w:val="16C93A3F"/>
    <w:rsid w:val="16D66A25"/>
    <w:rsid w:val="16E00486"/>
    <w:rsid w:val="16E216AE"/>
    <w:rsid w:val="16ED2504"/>
    <w:rsid w:val="16FA7E0D"/>
    <w:rsid w:val="17015510"/>
    <w:rsid w:val="17032869"/>
    <w:rsid w:val="17061828"/>
    <w:rsid w:val="171630DF"/>
    <w:rsid w:val="173D4CFB"/>
    <w:rsid w:val="174662CE"/>
    <w:rsid w:val="17473973"/>
    <w:rsid w:val="174B0F19"/>
    <w:rsid w:val="174E4847"/>
    <w:rsid w:val="175062B2"/>
    <w:rsid w:val="17506DDB"/>
    <w:rsid w:val="1782480A"/>
    <w:rsid w:val="179D5523"/>
    <w:rsid w:val="17CB3D1D"/>
    <w:rsid w:val="17CE3A39"/>
    <w:rsid w:val="17CF02CC"/>
    <w:rsid w:val="17D9742C"/>
    <w:rsid w:val="17DA2ED7"/>
    <w:rsid w:val="17F62AA1"/>
    <w:rsid w:val="17F956F0"/>
    <w:rsid w:val="180B4A87"/>
    <w:rsid w:val="180C758A"/>
    <w:rsid w:val="1812434F"/>
    <w:rsid w:val="18127693"/>
    <w:rsid w:val="181554AF"/>
    <w:rsid w:val="18176E86"/>
    <w:rsid w:val="181B4DDA"/>
    <w:rsid w:val="182D7964"/>
    <w:rsid w:val="18305213"/>
    <w:rsid w:val="18404E29"/>
    <w:rsid w:val="1841633A"/>
    <w:rsid w:val="18524447"/>
    <w:rsid w:val="185970C5"/>
    <w:rsid w:val="185E6A97"/>
    <w:rsid w:val="187131E0"/>
    <w:rsid w:val="18822FA5"/>
    <w:rsid w:val="1892578A"/>
    <w:rsid w:val="18962990"/>
    <w:rsid w:val="18A06D8E"/>
    <w:rsid w:val="18A54F27"/>
    <w:rsid w:val="18B15D7F"/>
    <w:rsid w:val="18C71F2E"/>
    <w:rsid w:val="18CB2DB3"/>
    <w:rsid w:val="18D14E5D"/>
    <w:rsid w:val="18D42CAF"/>
    <w:rsid w:val="18D4362A"/>
    <w:rsid w:val="18D51C62"/>
    <w:rsid w:val="18EC6706"/>
    <w:rsid w:val="18F90926"/>
    <w:rsid w:val="190E0561"/>
    <w:rsid w:val="19195B35"/>
    <w:rsid w:val="19226BAE"/>
    <w:rsid w:val="192450FC"/>
    <w:rsid w:val="19263565"/>
    <w:rsid w:val="19463B2A"/>
    <w:rsid w:val="195D3908"/>
    <w:rsid w:val="19624451"/>
    <w:rsid w:val="196810B4"/>
    <w:rsid w:val="197121E1"/>
    <w:rsid w:val="19743711"/>
    <w:rsid w:val="19911D3F"/>
    <w:rsid w:val="19962AA2"/>
    <w:rsid w:val="199776ED"/>
    <w:rsid w:val="199E22B8"/>
    <w:rsid w:val="19D578E2"/>
    <w:rsid w:val="19FF03A6"/>
    <w:rsid w:val="1A0C1238"/>
    <w:rsid w:val="1A17710B"/>
    <w:rsid w:val="1A1A123F"/>
    <w:rsid w:val="1A386B91"/>
    <w:rsid w:val="1A4E7A50"/>
    <w:rsid w:val="1A53496C"/>
    <w:rsid w:val="1A5D341F"/>
    <w:rsid w:val="1A7B3437"/>
    <w:rsid w:val="1A825AD1"/>
    <w:rsid w:val="1A892A4C"/>
    <w:rsid w:val="1A8C085C"/>
    <w:rsid w:val="1A8F5D4F"/>
    <w:rsid w:val="1A9753FB"/>
    <w:rsid w:val="1A9C532D"/>
    <w:rsid w:val="1AAC64F5"/>
    <w:rsid w:val="1ABA2134"/>
    <w:rsid w:val="1AC0555D"/>
    <w:rsid w:val="1AD639EC"/>
    <w:rsid w:val="1AEC7F04"/>
    <w:rsid w:val="1AF05E10"/>
    <w:rsid w:val="1AF20573"/>
    <w:rsid w:val="1AF529FB"/>
    <w:rsid w:val="1AF91432"/>
    <w:rsid w:val="1AF93958"/>
    <w:rsid w:val="1B0A14C3"/>
    <w:rsid w:val="1B0D34E6"/>
    <w:rsid w:val="1B0D5583"/>
    <w:rsid w:val="1B12214B"/>
    <w:rsid w:val="1B1B0C95"/>
    <w:rsid w:val="1B210B90"/>
    <w:rsid w:val="1B255860"/>
    <w:rsid w:val="1B28168E"/>
    <w:rsid w:val="1B283274"/>
    <w:rsid w:val="1B325176"/>
    <w:rsid w:val="1B34038E"/>
    <w:rsid w:val="1B3514DF"/>
    <w:rsid w:val="1B4726B5"/>
    <w:rsid w:val="1B5145D1"/>
    <w:rsid w:val="1B547A81"/>
    <w:rsid w:val="1B677DAC"/>
    <w:rsid w:val="1B7F7DDB"/>
    <w:rsid w:val="1B893270"/>
    <w:rsid w:val="1B964942"/>
    <w:rsid w:val="1BA24611"/>
    <w:rsid w:val="1BAE71EB"/>
    <w:rsid w:val="1BB61E4E"/>
    <w:rsid w:val="1BD17A60"/>
    <w:rsid w:val="1BDC2D74"/>
    <w:rsid w:val="1C012CBD"/>
    <w:rsid w:val="1C0B3F64"/>
    <w:rsid w:val="1C1348CC"/>
    <w:rsid w:val="1C1E467E"/>
    <w:rsid w:val="1C2F15F7"/>
    <w:rsid w:val="1C30499F"/>
    <w:rsid w:val="1C334640"/>
    <w:rsid w:val="1C3A2B94"/>
    <w:rsid w:val="1C3B26CC"/>
    <w:rsid w:val="1C3D2F85"/>
    <w:rsid w:val="1C4205DF"/>
    <w:rsid w:val="1C7A068D"/>
    <w:rsid w:val="1C810DC1"/>
    <w:rsid w:val="1C894B5F"/>
    <w:rsid w:val="1C8C77C9"/>
    <w:rsid w:val="1C985A48"/>
    <w:rsid w:val="1CB40E0F"/>
    <w:rsid w:val="1CB84DC5"/>
    <w:rsid w:val="1CBB6922"/>
    <w:rsid w:val="1CBD2C77"/>
    <w:rsid w:val="1CC527CF"/>
    <w:rsid w:val="1CC645BB"/>
    <w:rsid w:val="1CD4375D"/>
    <w:rsid w:val="1CD43EA5"/>
    <w:rsid w:val="1CDC4A2E"/>
    <w:rsid w:val="1CE93A5C"/>
    <w:rsid w:val="1CED2ECE"/>
    <w:rsid w:val="1CF4711B"/>
    <w:rsid w:val="1CFB5D00"/>
    <w:rsid w:val="1D0141FC"/>
    <w:rsid w:val="1D08169F"/>
    <w:rsid w:val="1D120570"/>
    <w:rsid w:val="1D12206B"/>
    <w:rsid w:val="1D176E45"/>
    <w:rsid w:val="1D3026AA"/>
    <w:rsid w:val="1D632931"/>
    <w:rsid w:val="1D6932AB"/>
    <w:rsid w:val="1D6D4A5F"/>
    <w:rsid w:val="1D727E8B"/>
    <w:rsid w:val="1D74487E"/>
    <w:rsid w:val="1D7E20AE"/>
    <w:rsid w:val="1D8F337A"/>
    <w:rsid w:val="1D9F5EFD"/>
    <w:rsid w:val="1D9F7507"/>
    <w:rsid w:val="1DA25971"/>
    <w:rsid w:val="1DA33AC8"/>
    <w:rsid w:val="1DAB5DDA"/>
    <w:rsid w:val="1DCB252F"/>
    <w:rsid w:val="1DCF3B05"/>
    <w:rsid w:val="1DD31B77"/>
    <w:rsid w:val="1DD34842"/>
    <w:rsid w:val="1DD66AEB"/>
    <w:rsid w:val="1DE104EB"/>
    <w:rsid w:val="1DE6180D"/>
    <w:rsid w:val="1DF55946"/>
    <w:rsid w:val="1E244314"/>
    <w:rsid w:val="1E276AE4"/>
    <w:rsid w:val="1E2E4C38"/>
    <w:rsid w:val="1E322786"/>
    <w:rsid w:val="1E340AF2"/>
    <w:rsid w:val="1E352842"/>
    <w:rsid w:val="1E356FF2"/>
    <w:rsid w:val="1E370102"/>
    <w:rsid w:val="1E4309AD"/>
    <w:rsid w:val="1E4925D0"/>
    <w:rsid w:val="1E4D08FE"/>
    <w:rsid w:val="1E582F40"/>
    <w:rsid w:val="1E654BEC"/>
    <w:rsid w:val="1E6B1510"/>
    <w:rsid w:val="1E6F5F95"/>
    <w:rsid w:val="1E8C051D"/>
    <w:rsid w:val="1EA02831"/>
    <w:rsid w:val="1EA9372C"/>
    <w:rsid w:val="1EC35978"/>
    <w:rsid w:val="1ECA7EFA"/>
    <w:rsid w:val="1ED141DD"/>
    <w:rsid w:val="1ED9502E"/>
    <w:rsid w:val="1EDF4D45"/>
    <w:rsid w:val="1EE23B3D"/>
    <w:rsid w:val="1EE55874"/>
    <w:rsid w:val="1EED04C0"/>
    <w:rsid w:val="1EF1291C"/>
    <w:rsid w:val="1EF56F5A"/>
    <w:rsid w:val="1EFA1442"/>
    <w:rsid w:val="1EFF0AD8"/>
    <w:rsid w:val="1F000AFA"/>
    <w:rsid w:val="1F225ACA"/>
    <w:rsid w:val="1F313701"/>
    <w:rsid w:val="1F352F8E"/>
    <w:rsid w:val="1F4D7791"/>
    <w:rsid w:val="1F5A7824"/>
    <w:rsid w:val="1F62052C"/>
    <w:rsid w:val="1F660A6B"/>
    <w:rsid w:val="1F8424E2"/>
    <w:rsid w:val="1F89467F"/>
    <w:rsid w:val="1F8C0772"/>
    <w:rsid w:val="1F9539FC"/>
    <w:rsid w:val="1F9B5302"/>
    <w:rsid w:val="1FA81A82"/>
    <w:rsid w:val="1FB05CDC"/>
    <w:rsid w:val="1FB15881"/>
    <w:rsid w:val="1FB270CD"/>
    <w:rsid w:val="1FDC1345"/>
    <w:rsid w:val="1FDD435A"/>
    <w:rsid w:val="1FE22141"/>
    <w:rsid w:val="1FE43602"/>
    <w:rsid w:val="1FF01CAE"/>
    <w:rsid w:val="20075320"/>
    <w:rsid w:val="20102587"/>
    <w:rsid w:val="201776E7"/>
    <w:rsid w:val="202D7598"/>
    <w:rsid w:val="2058042B"/>
    <w:rsid w:val="205A5C92"/>
    <w:rsid w:val="20617ECC"/>
    <w:rsid w:val="20632DF5"/>
    <w:rsid w:val="206B0A9C"/>
    <w:rsid w:val="206C5685"/>
    <w:rsid w:val="20702EEC"/>
    <w:rsid w:val="20717C27"/>
    <w:rsid w:val="20783103"/>
    <w:rsid w:val="207D2216"/>
    <w:rsid w:val="208257D3"/>
    <w:rsid w:val="20837AE8"/>
    <w:rsid w:val="20894C74"/>
    <w:rsid w:val="208B6280"/>
    <w:rsid w:val="209A7722"/>
    <w:rsid w:val="20A3713E"/>
    <w:rsid w:val="20B112FE"/>
    <w:rsid w:val="20BF4456"/>
    <w:rsid w:val="20CE36B8"/>
    <w:rsid w:val="20F52DA8"/>
    <w:rsid w:val="20F93C26"/>
    <w:rsid w:val="20FB54C1"/>
    <w:rsid w:val="211915B9"/>
    <w:rsid w:val="211D0D71"/>
    <w:rsid w:val="21373B91"/>
    <w:rsid w:val="213D0567"/>
    <w:rsid w:val="213D06DB"/>
    <w:rsid w:val="2143439B"/>
    <w:rsid w:val="214D7851"/>
    <w:rsid w:val="215D5665"/>
    <w:rsid w:val="21670CC5"/>
    <w:rsid w:val="216B25F3"/>
    <w:rsid w:val="217B169A"/>
    <w:rsid w:val="21BD2D22"/>
    <w:rsid w:val="21C451ED"/>
    <w:rsid w:val="21D21D96"/>
    <w:rsid w:val="21E507C1"/>
    <w:rsid w:val="21F16DB2"/>
    <w:rsid w:val="220548AA"/>
    <w:rsid w:val="22057E51"/>
    <w:rsid w:val="220827DC"/>
    <w:rsid w:val="2213123C"/>
    <w:rsid w:val="22207665"/>
    <w:rsid w:val="22365965"/>
    <w:rsid w:val="22384980"/>
    <w:rsid w:val="22450696"/>
    <w:rsid w:val="224F3428"/>
    <w:rsid w:val="22537803"/>
    <w:rsid w:val="225A0C75"/>
    <w:rsid w:val="225B1BB3"/>
    <w:rsid w:val="226700CE"/>
    <w:rsid w:val="226A1E6D"/>
    <w:rsid w:val="226F053F"/>
    <w:rsid w:val="227A2A1F"/>
    <w:rsid w:val="227A33BC"/>
    <w:rsid w:val="228E799A"/>
    <w:rsid w:val="22932BE3"/>
    <w:rsid w:val="229513B5"/>
    <w:rsid w:val="229A0245"/>
    <w:rsid w:val="22AA5AB0"/>
    <w:rsid w:val="22B05DBC"/>
    <w:rsid w:val="22C52D94"/>
    <w:rsid w:val="22C52FF2"/>
    <w:rsid w:val="22EF37E6"/>
    <w:rsid w:val="22EF67FD"/>
    <w:rsid w:val="23036669"/>
    <w:rsid w:val="231541A0"/>
    <w:rsid w:val="232729A0"/>
    <w:rsid w:val="233177C9"/>
    <w:rsid w:val="23317E36"/>
    <w:rsid w:val="23381F29"/>
    <w:rsid w:val="23387F8C"/>
    <w:rsid w:val="233F224F"/>
    <w:rsid w:val="234679DA"/>
    <w:rsid w:val="2362621F"/>
    <w:rsid w:val="236D383E"/>
    <w:rsid w:val="23835BE7"/>
    <w:rsid w:val="23852911"/>
    <w:rsid w:val="238710AD"/>
    <w:rsid w:val="23A17710"/>
    <w:rsid w:val="23BF1127"/>
    <w:rsid w:val="23C33F01"/>
    <w:rsid w:val="23CB4F84"/>
    <w:rsid w:val="23E07033"/>
    <w:rsid w:val="23EF01E4"/>
    <w:rsid w:val="23F17A64"/>
    <w:rsid w:val="23FD71D6"/>
    <w:rsid w:val="23FF4799"/>
    <w:rsid w:val="24044842"/>
    <w:rsid w:val="2407403C"/>
    <w:rsid w:val="24153AF7"/>
    <w:rsid w:val="241810D1"/>
    <w:rsid w:val="24186C72"/>
    <w:rsid w:val="24251EF7"/>
    <w:rsid w:val="24287885"/>
    <w:rsid w:val="24292073"/>
    <w:rsid w:val="24294CB5"/>
    <w:rsid w:val="242B2700"/>
    <w:rsid w:val="243037E9"/>
    <w:rsid w:val="2433264C"/>
    <w:rsid w:val="244106BF"/>
    <w:rsid w:val="24566A2D"/>
    <w:rsid w:val="24576BB8"/>
    <w:rsid w:val="24644211"/>
    <w:rsid w:val="247960C4"/>
    <w:rsid w:val="2485083A"/>
    <w:rsid w:val="248A13EF"/>
    <w:rsid w:val="248B7C02"/>
    <w:rsid w:val="2491519D"/>
    <w:rsid w:val="24937AE2"/>
    <w:rsid w:val="249D0520"/>
    <w:rsid w:val="249D4638"/>
    <w:rsid w:val="24A13A5C"/>
    <w:rsid w:val="24A57E63"/>
    <w:rsid w:val="24A946B7"/>
    <w:rsid w:val="24D04A2D"/>
    <w:rsid w:val="24DC32C1"/>
    <w:rsid w:val="24DC4411"/>
    <w:rsid w:val="24DE7248"/>
    <w:rsid w:val="24E00078"/>
    <w:rsid w:val="24E45BBE"/>
    <w:rsid w:val="24F26A2B"/>
    <w:rsid w:val="24F4422E"/>
    <w:rsid w:val="25066B89"/>
    <w:rsid w:val="25156BDF"/>
    <w:rsid w:val="253A5D29"/>
    <w:rsid w:val="253A609A"/>
    <w:rsid w:val="25403491"/>
    <w:rsid w:val="254A4769"/>
    <w:rsid w:val="254D1012"/>
    <w:rsid w:val="25541803"/>
    <w:rsid w:val="25545952"/>
    <w:rsid w:val="255A4010"/>
    <w:rsid w:val="25695CCC"/>
    <w:rsid w:val="258A04BE"/>
    <w:rsid w:val="259A375A"/>
    <w:rsid w:val="25A46AF5"/>
    <w:rsid w:val="25AC5B35"/>
    <w:rsid w:val="25BA11A8"/>
    <w:rsid w:val="25C6128A"/>
    <w:rsid w:val="25C625F4"/>
    <w:rsid w:val="25C72EA8"/>
    <w:rsid w:val="25D17DD3"/>
    <w:rsid w:val="25E06F6A"/>
    <w:rsid w:val="25EA06EC"/>
    <w:rsid w:val="26087FDD"/>
    <w:rsid w:val="260C73FF"/>
    <w:rsid w:val="261F399C"/>
    <w:rsid w:val="262A730B"/>
    <w:rsid w:val="263149C1"/>
    <w:rsid w:val="2638399D"/>
    <w:rsid w:val="26392726"/>
    <w:rsid w:val="265045EB"/>
    <w:rsid w:val="265D7A89"/>
    <w:rsid w:val="26793027"/>
    <w:rsid w:val="267B745A"/>
    <w:rsid w:val="267E2F14"/>
    <w:rsid w:val="268D6C11"/>
    <w:rsid w:val="26AF0B38"/>
    <w:rsid w:val="26AF49ED"/>
    <w:rsid w:val="26B056E9"/>
    <w:rsid w:val="26D07964"/>
    <w:rsid w:val="26EB0C21"/>
    <w:rsid w:val="26FA3136"/>
    <w:rsid w:val="26FB0816"/>
    <w:rsid w:val="26FC3017"/>
    <w:rsid w:val="270312A3"/>
    <w:rsid w:val="270A17CE"/>
    <w:rsid w:val="270B6BB4"/>
    <w:rsid w:val="27180511"/>
    <w:rsid w:val="27231A98"/>
    <w:rsid w:val="273C422B"/>
    <w:rsid w:val="27416551"/>
    <w:rsid w:val="27434159"/>
    <w:rsid w:val="27445ED0"/>
    <w:rsid w:val="27457323"/>
    <w:rsid w:val="275817B0"/>
    <w:rsid w:val="275C1402"/>
    <w:rsid w:val="275E2DB3"/>
    <w:rsid w:val="27607DEF"/>
    <w:rsid w:val="27682DBC"/>
    <w:rsid w:val="276A659A"/>
    <w:rsid w:val="2770386A"/>
    <w:rsid w:val="27707557"/>
    <w:rsid w:val="27770060"/>
    <w:rsid w:val="278106C9"/>
    <w:rsid w:val="278173E9"/>
    <w:rsid w:val="27896C86"/>
    <w:rsid w:val="279114AF"/>
    <w:rsid w:val="279566F5"/>
    <w:rsid w:val="27972884"/>
    <w:rsid w:val="27984CA0"/>
    <w:rsid w:val="27A52BAE"/>
    <w:rsid w:val="27B6298A"/>
    <w:rsid w:val="27BA6D5D"/>
    <w:rsid w:val="27BC1A6F"/>
    <w:rsid w:val="27DC5EDF"/>
    <w:rsid w:val="27E50815"/>
    <w:rsid w:val="27EE7ED8"/>
    <w:rsid w:val="27FC17A1"/>
    <w:rsid w:val="28077F3C"/>
    <w:rsid w:val="28090BFD"/>
    <w:rsid w:val="2820623B"/>
    <w:rsid w:val="28247A01"/>
    <w:rsid w:val="282A75A3"/>
    <w:rsid w:val="28307EB7"/>
    <w:rsid w:val="283D157D"/>
    <w:rsid w:val="28537E3E"/>
    <w:rsid w:val="28576E8A"/>
    <w:rsid w:val="28622424"/>
    <w:rsid w:val="286F01A8"/>
    <w:rsid w:val="28871236"/>
    <w:rsid w:val="288931A1"/>
    <w:rsid w:val="28A30EDE"/>
    <w:rsid w:val="28AD6EF5"/>
    <w:rsid w:val="28C20B17"/>
    <w:rsid w:val="28C25D18"/>
    <w:rsid w:val="28CD18D6"/>
    <w:rsid w:val="28DC435C"/>
    <w:rsid w:val="28E2543A"/>
    <w:rsid w:val="28E265DB"/>
    <w:rsid w:val="28E273A5"/>
    <w:rsid w:val="28E75ECE"/>
    <w:rsid w:val="28F25E70"/>
    <w:rsid w:val="28FD6501"/>
    <w:rsid w:val="29082353"/>
    <w:rsid w:val="2909011C"/>
    <w:rsid w:val="290B5A9A"/>
    <w:rsid w:val="290C0772"/>
    <w:rsid w:val="292363EC"/>
    <w:rsid w:val="29277BC6"/>
    <w:rsid w:val="29294172"/>
    <w:rsid w:val="292E61D9"/>
    <w:rsid w:val="2935445E"/>
    <w:rsid w:val="293A622D"/>
    <w:rsid w:val="294C2014"/>
    <w:rsid w:val="29503D77"/>
    <w:rsid w:val="29613188"/>
    <w:rsid w:val="29622374"/>
    <w:rsid w:val="2965659C"/>
    <w:rsid w:val="297816EC"/>
    <w:rsid w:val="298B6F13"/>
    <w:rsid w:val="298C020A"/>
    <w:rsid w:val="29BA4381"/>
    <w:rsid w:val="29BC1BA4"/>
    <w:rsid w:val="29BE6552"/>
    <w:rsid w:val="29C33B9A"/>
    <w:rsid w:val="29C82D53"/>
    <w:rsid w:val="29E06054"/>
    <w:rsid w:val="29F53A45"/>
    <w:rsid w:val="29FF40F8"/>
    <w:rsid w:val="2A0F45FD"/>
    <w:rsid w:val="2A0F7A7D"/>
    <w:rsid w:val="2A1500AA"/>
    <w:rsid w:val="2A1628AB"/>
    <w:rsid w:val="2A1737B5"/>
    <w:rsid w:val="2A223402"/>
    <w:rsid w:val="2A264399"/>
    <w:rsid w:val="2A2A05EC"/>
    <w:rsid w:val="2A2D6AA2"/>
    <w:rsid w:val="2A2D6CBA"/>
    <w:rsid w:val="2A49024F"/>
    <w:rsid w:val="2A490335"/>
    <w:rsid w:val="2A4E781C"/>
    <w:rsid w:val="2A81010F"/>
    <w:rsid w:val="2A9F7377"/>
    <w:rsid w:val="2AA43801"/>
    <w:rsid w:val="2AA956AF"/>
    <w:rsid w:val="2AAB342D"/>
    <w:rsid w:val="2AAC78A2"/>
    <w:rsid w:val="2AB0301F"/>
    <w:rsid w:val="2AE06CAF"/>
    <w:rsid w:val="2AE368CA"/>
    <w:rsid w:val="2AEC55DC"/>
    <w:rsid w:val="2AED3C71"/>
    <w:rsid w:val="2B08606D"/>
    <w:rsid w:val="2B10607A"/>
    <w:rsid w:val="2B184651"/>
    <w:rsid w:val="2B440F8C"/>
    <w:rsid w:val="2B4554B8"/>
    <w:rsid w:val="2B4932B3"/>
    <w:rsid w:val="2B4C05C6"/>
    <w:rsid w:val="2B4F3BE3"/>
    <w:rsid w:val="2B4F5B3E"/>
    <w:rsid w:val="2B653633"/>
    <w:rsid w:val="2B717BB1"/>
    <w:rsid w:val="2B8A1A97"/>
    <w:rsid w:val="2B910B36"/>
    <w:rsid w:val="2BB72626"/>
    <w:rsid w:val="2BB80A43"/>
    <w:rsid w:val="2BB9771E"/>
    <w:rsid w:val="2BBD0157"/>
    <w:rsid w:val="2BC138FD"/>
    <w:rsid w:val="2BCB0122"/>
    <w:rsid w:val="2BD03D26"/>
    <w:rsid w:val="2BDF70FC"/>
    <w:rsid w:val="2BE1301D"/>
    <w:rsid w:val="2BEA3CE2"/>
    <w:rsid w:val="2BF867AD"/>
    <w:rsid w:val="2C0056E8"/>
    <w:rsid w:val="2C170178"/>
    <w:rsid w:val="2C1B13E3"/>
    <w:rsid w:val="2C2709D5"/>
    <w:rsid w:val="2C2C66AF"/>
    <w:rsid w:val="2C344420"/>
    <w:rsid w:val="2C38282C"/>
    <w:rsid w:val="2C3B59C2"/>
    <w:rsid w:val="2C5A1D76"/>
    <w:rsid w:val="2C66509A"/>
    <w:rsid w:val="2C7A0BAD"/>
    <w:rsid w:val="2C9A0791"/>
    <w:rsid w:val="2CA30F47"/>
    <w:rsid w:val="2CB8394D"/>
    <w:rsid w:val="2CCA3227"/>
    <w:rsid w:val="2CD0466F"/>
    <w:rsid w:val="2CDA21B0"/>
    <w:rsid w:val="2D04741E"/>
    <w:rsid w:val="2D066EB7"/>
    <w:rsid w:val="2D08003A"/>
    <w:rsid w:val="2D1533C6"/>
    <w:rsid w:val="2D252342"/>
    <w:rsid w:val="2D38599C"/>
    <w:rsid w:val="2D3C1EA9"/>
    <w:rsid w:val="2D422A9F"/>
    <w:rsid w:val="2D573E72"/>
    <w:rsid w:val="2D5F3DF7"/>
    <w:rsid w:val="2D5F5CC0"/>
    <w:rsid w:val="2D7B7FEF"/>
    <w:rsid w:val="2D9F097F"/>
    <w:rsid w:val="2DA5431B"/>
    <w:rsid w:val="2DAE4F2F"/>
    <w:rsid w:val="2DB53B6D"/>
    <w:rsid w:val="2DD40D40"/>
    <w:rsid w:val="2DD473B4"/>
    <w:rsid w:val="2DD82897"/>
    <w:rsid w:val="2DE12A2D"/>
    <w:rsid w:val="2DE86158"/>
    <w:rsid w:val="2DF97FA3"/>
    <w:rsid w:val="2DFC0B25"/>
    <w:rsid w:val="2E071869"/>
    <w:rsid w:val="2E0E25EC"/>
    <w:rsid w:val="2E110070"/>
    <w:rsid w:val="2E140B75"/>
    <w:rsid w:val="2E191FB8"/>
    <w:rsid w:val="2E263107"/>
    <w:rsid w:val="2E271EB5"/>
    <w:rsid w:val="2E2B6AA0"/>
    <w:rsid w:val="2E321F8A"/>
    <w:rsid w:val="2E36566E"/>
    <w:rsid w:val="2E5170EE"/>
    <w:rsid w:val="2E5474FF"/>
    <w:rsid w:val="2E694EE7"/>
    <w:rsid w:val="2E6D647B"/>
    <w:rsid w:val="2E7A5950"/>
    <w:rsid w:val="2E8B3620"/>
    <w:rsid w:val="2E931B42"/>
    <w:rsid w:val="2E955C43"/>
    <w:rsid w:val="2E991484"/>
    <w:rsid w:val="2E9B2DDF"/>
    <w:rsid w:val="2E9C3FAD"/>
    <w:rsid w:val="2E9D186E"/>
    <w:rsid w:val="2EAE058D"/>
    <w:rsid w:val="2EAF35EC"/>
    <w:rsid w:val="2EB42545"/>
    <w:rsid w:val="2EC61929"/>
    <w:rsid w:val="2ED45CF8"/>
    <w:rsid w:val="2EDA0087"/>
    <w:rsid w:val="2EE1267D"/>
    <w:rsid w:val="2EF241C6"/>
    <w:rsid w:val="2EF6723E"/>
    <w:rsid w:val="2EF76AF9"/>
    <w:rsid w:val="2F1579DF"/>
    <w:rsid w:val="2F222AA4"/>
    <w:rsid w:val="2F2E75F5"/>
    <w:rsid w:val="2F3B0F7F"/>
    <w:rsid w:val="2F3C42A1"/>
    <w:rsid w:val="2F40116E"/>
    <w:rsid w:val="2F401D6C"/>
    <w:rsid w:val="2F502997"/>
    <w:rsid w:val="2F602AC4"/>
    <w:rsid w:val="2F6564A0"/>
    <w:rsid w:val="2F656AA3"/>
    <w:rsid w:val="2F760389"/>
    <w:rsid w:val="2F812764"/>
    <w:rsid w:val="2F8350AB"/>
    <w:rsid w:val="2F837726"/>
    <w:rsid w:val="2F886EFC"/>
    <w:rsid w:val="2F8F3D95"/>
    <w:rsid w:val="2FA7063E"/>
    <w:rsid w:val="2FAC02E2"/>
    <w:rsid w:val="2FB14D2F"/>
    <w:rsid w:val="2FCF2BC2"/>
    <w:rsid w:val="2FD14159"/>
    <w:rsid w:val="2FE33AA2"/>
    <w:rsid w:val="2FEA782C"/>
    <w:rsid w:val="2FEC41C3"/>
    <w:rsid w:val="2FEE0E9A"/>
    <w:rsid w:val="2FF331FC"/>
    <w:rsid w:val="300A0F4C"/>
    <w:rsid w:val="300B2CCA"/>
    <w:rsid w:val="302201E4"/>
    <w:rsid w:val="302B485C"/>
    <w:rsid w:val="302D6C05"/>
    <w:rsid w:val="304661E5"/>
    <w:rsid w:val="30564DD8"/>
    <w:rsid w:val="305B1DC5"/>
    <w:rsid w:val="305C49BA"/>
    <w:rsid w:val="306512BB"/>
    <w:rsid w:val="306801B9"/>
    <w:rsid w:val="307C1AA4"/>
    <w:rsid w:val="308D7EFE"/>
    <w:rsid w:val="30A856D6"/>
    <w:rsid w:val="30AB18E7"/>
    <w:rsid w:val="30BF7C39"/>
    <w:rsid w:val="30E23AC1"/>
    <w:rsid w:val="30FD3ABD"/>
    <w:rsid w:val="310D2C49"/>
    <w:rsid w:val="312A1277"/>
    <w:rsid w:val="312B7793"/>
    <w:rsid w:val="31311414"/>
    <w:rsid w:val="31396FEF"/>
    <w:rsid w:val="31426982"/>
    <w:rsid w:val="314D61BC"/>
    <w:rsid w:val="315A540E"/>
    <w:rsid w:val="315B442C"/>
    <w:rsid w:val="315F1224"/>
    <w:rsid w:val="315F3C43"/>
    <w:rsid w:val="31644A16"/>
    <w:rsid w:val="318223E9"/>
    <w:rsid w:val="31946D93"/>
    <w:rsid w:val="31A63DDE"/>
    <w:rsid w:val="31AB0FD3"/>
    <w:rsid w:val="31C93D19"/>
    <w:rsid w:val="31CC2511"/>
    <w:rsid w:val="31D75E84"/>
    <w:rsid w:val="31FA31A2"/>
    <w:rsid w:val="31FF66CD"/>
    <w:rsid w:val="32020B50"/>
    <w:rsid w:val="32053ED6"/>
    <w:rsid w:val="32197FE6"/>
    <w:rsid w:val="322F60D6"/>
    <w:rsid w:val="322F7431"/>
    <w:rsid w:val="324F6E75"/>
    <w:rsid w:val="3259462B"/>
    <w:rsid w:val="325B2C4E"/>
    <w:rsid w:val="32687EDC"/>
    <w:rsid w:val="326934B0"/>
    <w:rsid w:val="326F3EAC"/>
    <w:rsid w:val="328E1832"/>
    <w:rsid w:val="329B43AC"/>
    <w:rsid w:val="32C04791"/>
    <w:rsid w:val="32C442BA"/>
    <w:rsid w:val="32D54960"/>
    <w:rsid w:val="32D73DC9"/>
    <w:rsid w:val="32D8148B"/>
    <w:rsid w:val="32DA2D47"/>
    <w:rsid w:val="32DD3BC8"/>
    <w:rsid w:val="32E27A17"/>
    <w:rsid w:val="32EE6CEF"/>
    <w:rsid w:val="32FA0875"/>
    <w:rsid w:val="32FD06F5"/>
    <w:rsid w:val="330B782E"/>
    <w:rsid w:val="331E6248"/>
    <w:rsid w:val="332D35BB"/>
    <w:rsid w:val="33370C75"/>
    <w:rsid w:val="33397A7E"/>
    <w:rsid w:val="33491E42"/>
    <w:rsid w:val="33492317"/>
    <w:rsid w:val="334F6AF4"/>
    <w:rsid w:val="33537E48"/>
    <w:rsid w:val="335E6EC0"/>
    <w:rsid w:val="3361231C"/>
    <w:rsid w:val="337A5D75"/>
    <w:rsid w:val="33845AB9"/>
    <w:rsid w:val="338A4372"/>
    <w:rsid w:val="338A6EA1"/>
    <w:rsid w:val="339B4FFC"/>
    <w:rsid w:val="33A078FB"/>
    <w:rsid w:val="33C43D46"/>
    <w:rsid w:val="33CE0FAF"/>
    <w:rsid w:val="33CF6D54"/>
    <w:rsid w:val="33D4094C"/>
    <w:rsid w:val="33DC241B"/>
    <w:rsid w:val="33E31F93"/>
    <w:rsid w:val="341A34CE"/>
    <w:rsid w:val="342C0E9D"/>
    <w:rsid w:val="343A72AF"/>
    <w:rsid w:val="344C600A"/>
    <w:rsid w:val="345062B2"/>
    <w:rsid w:val="345E54AF"/>
    <w:rsid w:val="3461374B"/>
    <w:rsid w:val="3465265C"/>
    <w:rsid w:val="347353FC"/>
    <w:rsid w:val="34763D98"/>
    <w:rsid w:val="3478052C"/>
    <w:rsid w:val="34996100"/>
    <w:rsid w:val="34AF743E"/>
    <w:rsid w:val="34B33BD3"/>
    <w:rsid w:val="34B92CF4"/>
    <w:rsid w:val="34B97737"/>
    <w:rsid w:val="34D95521"/>
    <w:rsid w:val="34DA79F6"/>
    <w:rsid w:val="34F803AA"/>
    <w:rsid w:val="34FF4652"/>
    <w:rsid w:val="35063BB6"/>
    <w:rsid w:val="35230E78"/>
    <w:rsid w:val="35250EF9"/>
    <w:rsid w:val="35291433"/>
    <w:rsid w:val="353F4B28"/>
    <w:rsid w:val="354E28F0"/>
    <w:rsid w:val="355572C0"/>
    <w:rsid w:val="35565850"/>
    <w:rsid w:val="35607EFC"/>
    <w:rsid w:val="3564486A"/>
    <w:rsid w:val="356E6270"/>
    <w:rsid w:val="35752D0C"/>
    <w:rsid w:val="357550EF"/>
    <w:rsid w:val="35776307"/>
    <w:rsid w:val="357D5291"/>
    <w:rsid w:val="359626A8"/>
    <w:rsid w:val="35A80BFE"/>
    <w:rsid w:val="35B20465"/>
    <w:rsid w:val="35B82A4F"/>
    <w:rsid w:val="35BC47A2"/>
    <w:rsid w:val="35E73D0E"/>
    <w:rsid w:val="35E8739A"/>
    <w:rsid w:val="35EB22BA"/>
    <w:rsid w:val="35F83BA1"/>
    <w:rsid w:val="35F853C1"/>
    <w:rsid w:val="35FD5F81"/>
    <w:rsid w:val="36005B4E"/>
    <w:rsid w:val="36064972"/>
    <w:rsid w:val="360F6A39"/>
    <w:rsid w:val="3615414E"/>
    <w:rsid w:val="36194894"/>
    <w:rsid w:val="361C3E64"/>
    <w:rsid w:val="361C69B0"/>
    <w:rsid w:val="36202F2E"/>
    <w:rsid w:val="362B7A11"/>
    <w:rsid w:val="36326DB9"/>
    <w:rsid w:val="36394DA8"/>
    <w:rsid w:val="364474BE"/>
    <w:rsid w:val="364A71C6"/>
    <w:rsid w:val="36684DEB"/>
    <w:rsid w:val="36706122"/>
    <w:rsid w:val="36717E58"/>
    <w:rsid w:val="367D77AC"/>
    <w:rsid w:val="36856F8E"/>
    <w:rsid w:val="369C218B"/>
    <w:rsid w:val="36A67B00"/>
    <w:rsid w:val="36AC5A62"/>
    <w:rsid w:val="36AE1945"/>
    <w:rsid w:val="36B33F3A"/>
    <w:rsid w:val="36B4759F"/>
    <w:rsid w:val="36B876FD"/>
    <w:rsid w:val="36B919AE"/>
    <w:rsid w:val="36C03D77"/>
    <w:rsid w:val="36C46F4A"/>
    <w:rsid w:val="36CC0462"/>
    <w:rsid w:val="36D06067"/>
    <w:rsid w:val="36D16EBA"/>
    <w:rsid w:val="36D87368"/>
    <w:rsid w:val="36EA6231"/>
    <w:rsid w:val="36EC58A2"/>
    <w:rsid w:val="36F954EC"/>
    <w:rsid w:val="36FA09FF"/>
    <w:rsid w:val="370C5B42"/>
    <w:rsid w:val="370F4400"/>
    <w:rsid w:val="3711637B"/>
    <w:rsid w:val="3713559D"/>
    <w:rsid w:val="372E76A9"/>
    <w:rsid w:val="373F432E"/>
    <w:rsid w:val="374328C5"/>
    <w:rsid w:val="3744113F"/>
    <w:rsid w:val="3749354D"/>
    <w:rsid w:val="374D07A0"/>
    <w:rsid w:val="375A3ED5"/>
    <w:rsid w:val="376075E6"/>
    <w:rsid w:val="3762295A"/>
    <w:rsid w:val="3766154F"/>
    <w:rsid w:val="376B1449"/>
    <w:rsid w:val="376D625B"/>
    <w:rsid w:val="37715E37"/>
    <w:rsid w:val="37736FE9"/>
    <w:rsid w:val="37793AC1"/>
    <w:rsid w:val="377F7FDE"/>
    <w:rsid w:val="3788795B"/>
    <w:rsid w:val="37946764"/>
    <w:rsid w:val="37950DA5"/>
    <w:rsid w:val="379650F7"/>
    <w:rsid w:val="3798172A"/>
    <w:rsid w:val="379D5173"/>
    <w:rsid w:val="37C92507"/>
    <w:rsid w:val="37CE34DD"/>
    <w:rsid w:val="37D55EAA"/>
    <w:rsid w:val="37DB351C"/>
    <w:rsid w:val="37DC01AA"/>
    <w:rsid w:val="37E56604"/>
    <w:rsid w:val="37E64FB4"/>
    <w:rsid w:val="37F1367A"/>
    <w:rsid w:val="38071A8C"/>
    <w:rsid w:val="381202E5"/>
    <w:rsid w:val="381527BB"/>
    <w:rsid w:val="38156886"/>
    <w:rsid w:val="38223CB6"/>
    <w:rsid w:val="3828052C"/>
    <w:rsid w:val="383927A8"/>
    <w:rsid w:val="383A164E"/>
    <w:rsid w:val="383D742D"/>
    <w:rsid w:val="38431581"/>
    <w:rsid w:val="38490E48"/>
    <w:rsid w:val="3853633E"/>
    <w:rsid w:val="387125AA"/>
    <w:rsid w:val="38726B8D"/>
    <w:rsid w:val="38792109"/>
    <w:rsid w:val="387B18EC"/>
    <w:rsid w:val="387C7A83"/>
    <w:rsid w:val="387E628E"/>
    <w:rsid w:val="387F4027"/>
    <w:rsid w:val="38904121"/>
    <w:rsid w:val="389254A5"/>
    <w:rsid w:val="38A10B2F"/>
    <w:rsid w:val="38A1510E"/>
    <w:rsid w:val="38A307FE"/>
    <w:rsid w:val="38AD68F3"/>
    <w:rsid w:val="38C67551"/>
    <w:rsid w:val="38CD43AD"/>
    <w:rsid w:val="38E116ED"/>
    <w:rsid w:val="38E347C3"/>
    <w:rsid w:val="38F00E23"/>
    <w:rsid w:val="38F46701"/>
    <w:rsid w:val="38F61DE2"/>
    <w:rsid w:val="38FA6955"/>
    <w:rsid w:val="38FA7C0E"/>
    <w:rsid w:val="38FB0047"/>
    <w:rsid w:val="390E3637"/>
    <w:rsid w:val="390F594D"/>
    <w:rsid w:val="39182D54"/>
    <w:rsid w:val="391A5949"/>
    <w:rsid w:val="391F2EF2"/>
    <w:rsid w:val="39233C48"/>
    <w:rsid w:val="39290587"/>
    <w:rsid w:val="392D4FD2"/>
    <w:rsid w:val="39350977"/>
    <w:rsid w:val="39371021"/>
    <w:rsid w:val="39371B39"/>
    <w:rsid w:val="393F4B7D"/>
    <w:rsid w:val="394138E2"/>
    <w:rsid w:val="39441221"/>
    <w:rsid w:val="39486BF7"/>
    <w:rsid w:val="394E0A5C"/>
    <w:rsid w:val="396E2FD4"/>
    <w:rsid w:val="397B53A9"/>
    <w:rsid w:val="397F2B40"/>
    <w:rsid w:val="39847809"/>
    <w:rsid w:val="398A0654"/>
    <w:rsid w:val="39AF64EA"/>
    <w:rsid w:val="39B902EC"/>
    <w:rsid w:val="39C03EAE"/>
    <w:rsid w:val="39C06260"/>
    <w:rsid w:val="39C27AF1"/>
    <w:rsid w:val="39CA1F33"/>
    <w:rsid w:val="39D55074"/>
    <w:rsid w:val="39DD5024"/>
    <w:rsid w:val="39DD763F"/>
    <w:rsid w:val="39E7698D"/>
    <w:rsid w:val="39EE74B5"/>
    <w:rsid w:val="39EF6D5B"/>
    <w:rsid w:val="39F14D58"/>
    <w:rsid w:val="39F32E1B"/>
    <w:rsid w:val="3A114AAA"/>
    <w:rsid w:val="3A15525D"/>
    <w:rsid w:val="3A163BE8"/>
    <w:rsid w:val="3A2260AB"/>
    <w:rsid w:val="3A2D4460"/>
    <w:rsid w:val="3A335CEC"/>
    <w:rsid w:val="3A444C52"/>
    <w:rsid w:val="3A4B7665"/>
    <w:rsid w:val="3A4E520F"/>
    <w:rsid w:val="3A547376"/>
    <w:rsid w:val="3A5A3757"/>
    <w:rsid w:val="3A70346A"/>
    <w:rsid w:val="3A9C5F26"/>
    <w:rsid w:val="3AA16FD7"/>
    <w:rsid w:val="3AA52446"/>
    <w:rsid w:val="3AB53C25"/>
    <w:rsid w:val="3ABE7C28"/>
    <w:rsid w:val="3AC37032"/>
    <w:rsid w:val="3ACC05C1"/>
    <w:rsid w:val="3AD53184"/>
    <w:rsid w:val="3AE67DC8"/>
    <w:rsid w:val="3AEA68D4"/>
    <w:rsid w:val="3AEB007A"/>
    <w:rsid w:val="3B02329B"/>
    <w:rsid w:val="3B037A97"/>
    <w:rsid w:val="3B096722"/>
    <w:rsid w:val="3B097458"/>
    <w:rsid w:val="3B146B7A"/>
    <w:rsid w:val="3B1614F8"/>
    <w:rsid w:val="3B3A0869"/>
    <w:rsid w:val="3B4E12CB"/>
    <w:rsid w:val="3B645649"/>
    <w:rsid w:val="3B7B07D3"/>
    <w:rsid w:val="3B7F1E77"/>
    <w:rsid w:val="3B8231AF"/>
    <w:rsid w:val="3B862C2F"/>
    <w:rsid w:val="3B8A5332"/>
    <w:rsid w:val="3B9A1DD3"/>
    <w:rsid w:val="3BA56AC6"/>
    <w:rsid w:val="3BAD6DD7"/>
    <w:rsid w:val="3BBC4EE2"/>
    <w:rsid w:val="3BBD0BB3"/>
    <w:rsid w:val="3BF0040E"/>
    <w:rsid w:val="3C011488"/>
    <w:rsid w:val="3C0F0C63"/>
    <w:rsid w:val="3C2860E4"/>
    <w:rsid w:val="3C2C38C5"/>
    <w:rsid w:val="3C2F16CD"/>
    <w:rsid w:val="3C3E75EC"/>
    <w:rsid w:val="3C406CC7"/>
    <w:rsid w:val="3C58570C"/>
    <w:rsid w:val="3C850CF0"/>
    <w:rsid w:val="3C8C276D"/>
    <w:rsid w:val="3C947AED"/>
    <w:rsid w:val="3C964A69"/>
    <w:rsid w:val="3C9830E4"/>
    <w:rsid w:val="3CA01ED1"/>
    <w:rsid w:val="3CAD560C"/>
    <w:rsid w:val="3CAE6767"/>
    <w:rsid w:val="3CB94DCF"/>
    <w:rsid w:val="3CC95EB3"/>
    <w:rsid w:val="3CD27A5D"/>
    <w:rsid w:val="3D0273EF"/>
    <w:rsid w:val="3D032890"/>
    <w:rsid w:val="3D10386B"/>
    <w:rsid w:val="3D1B678E"/>
    <w:rsid w:val="3D30730B"/>
    <w:rsid w:val="3D331AD4"/>
    <w:rsid w:val="3D3D089F"/>
    <w:rsid w:val="3D4B155D"/>
    <w:rsid w:val="3D564026"/>
    <w:rsid w:val="3D584AE0"/>
    <w:rsid w:val="3D622F0E"/>
    <w:rsid w:val="3D7744C9"/>
    <w:rsid w:val="3D871488"/>
    <w:rsid w:val="3D8D63AB"/>
    <w:rsid w:val="3D961991"/>
    <w:rsid w:val="3D987415"/>
    <w:rsid w:val="3DA343D2"/>
    <w:rsid w:val="3DA51F43"/>
    <w:rsid w:val="3DA930A6"/>
    <w:rsid w:val="3DB41127"/>
    <w:rsid w:val="3DB53283"/>
    <w:rsid w:val="3DB710E9"/>
    <w:rsid w:val="3DBA72B8"/>
    <w:rsid w:val="3DBB23BC"/>
    <w:rsid w:val="3DBC44C4"/>
    <w:rsid w:val="3DBD493F"/>
    <w:rsid w:val="3DBE346F"/>
    <w:rsid w:val="3DDF5CFE"/>
    <w:rsid w:val="3DF30319"/>
    <w:rsid w:val="3DF735C9"/>
    <w:rsid w:val="3E090A3B"/>
    <w:rsid w:val="3E0B0C35"/>
    <w:rsid w:val="3E2671FB"/>
    <w:rsid w:val="3E3B5F0E"/>
    <w:rsid w:val="3E3F5268"/>
    <w:rsid w:val="3E423463"/>
    <w:rsid w:val="3E5449BF"/>
    <w:rsid w:val="3E5749A7"/>
    <w:rsid w:val="3E70171B"/>
    <w:rsid w:val="3E8E79FA"/>
    <w:rsid w:val="3E9240EF"/>
    <w:rsid w:val="3E924FD6"/>
    <w:rsid w:val="3EAA5982"/>
    <w:rsid w:val="3EB05641"/>
    <w:rsid w:val="3EBD5E85"/>
    <w:rsid w:val="3EBD625E"/>
    <w:rsid w:val="3EBF62EC"/>
    <w:rsid w:val="3EC36886"/>
    <w:rsid w:val="3ECB33D6"/>
    <w:rsid w:val="3ECE5099"/>
    <w:rsid w:val="3ED31E34"/>
    <w:rsid w:val="3ED34D58"/>
    <w:rsid w:val="3ED47974"/>
    <w:rsid w:val="3EDF2E55"/>
    <w:rsid w:val="3EDF6F81"/>
    <w:rsid w:val="3EE96B3A"/>
    <w:rsid w:val="3EEB2863"/>
    <w:rsid w:val="3EEE0E5B"/>
    <w:rsid w:val="3EF85542"/>
    <w:rsid w:val="3F0F2563"/>
    <w:rsid w:val="3F14133E"/>
    <w:rsid w:val="3F1A640D"/>
    <w:rsid w:val="3F2647F1"/>
    <w:rsid w:val="3F39475D"/>
    <w:rsid w:val="3F3F751F"/>
    <w:rsid w:val="3F426B38"/>
    <w:rsid w:val="3F440A44"/>
    <w:rsid w:val="3F5D2E70"/>
    <w:rsid w:val="3F6637E4"/>
    <w:rsid w:val="3F796AB6"/>
    <w:rsid w:val="3F7A2487"/>
    <w:rsid w:val="3F7B14B8"/>
    <w:rsid w:val="3F7E641F"/>
    <w:rsid w:val="3F816BAB"/>
    <w:rsid w:val="3F852BAD"/>
    <w:rsid w:val="3F8723EF"/>
    <w:rsid w:val="3F886305"/>
    <w:rsid w:val="3F97434F"/>
    <w:rsid w:val="3F9C02E2"/>
    <w:rsid w:val="3FB40BC2"/>
    <w:rsid w:val="3FB47B68"/>
    <w:rsid w:val="3FEA69E6"/>
    <w:rsid w:val="400226BC"/>
    <w:rsid w:val="40036C42"/>
    <w:rsid w:val="40056094"/>
    <w:rsid w:val="400579E8"/>
    <w:rsid w:val="400A0F1D"/>
    <w:rsid w:val="400D2E34"/>
    <w:rsid w:val="400E4ED5"/>
    <w:rsid w:val="401742C6"/>
    <w:rsid w:val="401A136C"/>
    <w:rsid w:val="4032212E"/>
    <w:rsid w:val="40334D6F"/>
    <w:rsid w:val="40365A49"/>
    <w:rsid w:val="403972CC"/>
    <w:rsid w:val="404D6F8A"/>
    <w:rsid w:val="40587443"/>
    <w:rsid w:val="40596E3C"/>
    <w:rsid w:val="40605652"/>
    <w:rsid w:val="40702A59"/>
    <w:rsid w:val="40895875"/>
    <w:rsid w:val="40941231"/>
    <w:rsid w:val="409817D3"/>
    <w:rsid w:val="40A961C1"/>
    <w:rsid w:val="40B01432"/>
    <w:rsid w:val="40B77DFE"/>
    <w:rsid w:val="40B922EA"/>
    <w:rsid w:val="40CB1D6E"/>
    <w:rsid w:val="40DC034D"/>
    <w:rsid w:val="40DD4201"/>
    <w:rsid w:val="40E609DD"/>
    <w:rsid w:val="40EE092C"/>
    <w:rsid w:val="40FB24DE"/>
    <w:rsid w:val="41030AF6"/>
    <w:rsid w:val="41050C58"/>
    <w:rsid w:val="4105432C"/>
    <w:rsid w:val="41086070"/>
    <w:rsid w:val="411D3277"/>
    <w:rsid w:val="41213320"/>
    <w:rsid w:val="413C16E9"/>
    <w:rsid w:val="413C209A"/>
    <w:rsid w:val="41417D7E"/>
    <w:rsid w:val="414C0145"/>
    <w:rsid w:val="415B4F2C"/>
    <w:rsid w:val="415E0449"/>
    <w:rsid w:val="41610819"/>
    <w:rsid w:val="416C7F4C"/>
    <w:rsid w:val="41734D15"/>
    <w:rsid w:val="417727A0"/>
    <w:rsid w:val="41790684"/>
    <w:rsid w:val="417B0D03"/>
    <w:rsid w:val="417C4DE0"/>
    <w:rsid w:val="418F7879"/>
    <w:rsid w:val="41981320"/>
    <w:rsid w:val="419A2954"/>
    <w:rsid w:val="419D4353"/>
    <w:rsid w:val="41A56B57"/>
    <w:rsid w:val="41C14C95"/>
    <w:rsid w:val="41D13A43"/>
    <w:rsid w:val="41D146FC"/>
    <w:rsid w:val="41D17DAF"/>
    <w:rsid w:val="41DC710F"/>
    <w:rsid w:val="420229CE"/>
    <w:rsid w:val="422E2B11"/>
    <w:rsid w:val="42386C89"/>
    <w:rsid w:val="424A44A2"/>
    <w:rsid w:val="425021AC"/>
    <w:rsid w:val="425D5B2E"/>
    <w:rsid w:val="42671750"/>
    <w:rsid w:val="426A193E"/>
    <w:rsid w:val="426E3F06"/>
    <w:rsid w:val="428B3274"/>
    <w:rsid w:val="42911451"/>
    <w:rsid w:val="429123F4"/>
    <w:rsid w:val="42945E8A"/>
    <w:rsid w:val="429C759B"/>
    <w:rsid w:val="42A4405D"/>
    <w:rsid w:val="42A50059"/>
    <w:rsid w:val="42AD4E60"/>
    <w:rsid w:val="42AE3EBD"/>
    <w:rsid w:val="42BA55C8"/>
    <w:rsid w:val="42E90C7B"/>
    <w:rsid w:val="42ED2D00"/>
    <w:rsid w:val="43035F96"/>
    <w:rsid w:val="43062784"/>
    <w:rsid w:val="430E5F61"/>
    <w:rsid w:val="43145B3F"/>
    <w:rsid w:val="4316019A"/>
    <w:rsid w:val="431A1526"/>
    <w:rsid w:val="431C4C37"/>
    <w:rsid w:val="431F16C6"/>
    <w:rsid w:val="43215DB2"/>
    <w:rsid w:val="43216F51"/>
    <w:rsid w:val="43302951"/>
    <w:rsid w:val="43393E45"/>
    <w:rsid w:val="433B4B99"/>
    <w:rsid w:val="43443A32"/>
    <w:rsid w:val="43487732"/>
    <w:rsid w:val="434A3F74"/>
    <w:rsid w:val="434E0501"/>
    <w:rsid w:val="435E2791"/>
    <w:rsid w:val="436725E1"/>
    <w:rsid w:val="43697FF4"/>
    <w:rsid w:val="436A14D8"/>
    <w:rsid w:val="436A250A"/>
    <w:rsid w:val="436B6D03"/>
    <w:rsid w:val="436E44D1"/>
    <w:rsid w:val="43827CFF"/>
    <w:rsid w:val="439C66E9"/>
    <w:rsid w:val="43B933F0"/>
    <w:rsid w:val="43BA256E"/>
    <w:rsid w:val="43D47AD8"/>
    <w:rsid w:val="43E64C4B"/>
    <w:rsid w:val="43F25D8D"/>
    <w:rsid w:val="43F407B0"/>
    <w:rsid w:val="43F64DD2"/>
    <w:rsid w:val="43FC5A43"/>
    <w:rsid w:val="44087E0D"/>
    <w:rsid w:val="440D7175"/>
    <w:rsid w:val="44282B51"/>
    <w:rsid w:val="443C3EDB"/>
    <w:rsid w:val="4455158B"/>
    <w:rsid w:val="445A659A"/>
    <w:rsid w:val="44652B42"/>
    <w:rsid w:val="44673F8B"/>
    <w:rsid w:val="447B353C"/>
    <w:rsid w:val="44824954"/>
    <w:rsid w:val="44864A4D"/>
    <w:rsid w:val="449E7D3F"/>
    <w:rsid w:val="44A33C19"/>
    <w:rsid w:val="44A61696"/>
    <w:rsid w:val="44B55E1C"/>
    <w:rsid w:val="44B9776D"/>
    <w:rsid w:val="44CD09A4"/>
    <w:rsid w:val="44D327F0"/>
    <w:rsid w:val="44D55C4F"/>
    <w:rsid w:val="44F50001"/>
    <w:rsid w:val="45041A44"/>
    <w:rsid w:val="45073D93"/>
    <w:rsid w:val="45132DEC"/>
    <w:rsid w:val="45176896"/>
    <w:rsid w:val="451B1AE5"/>
    <w:rsid w:val="45211F4D"/>
    <w:rsid w:val="452255C2"/>
    <w:rsid w:val="4529359B"/>
    <w:rsid w:val="452D6A90"/>
    <w:rsid w:val="45342C13"/>
    <w:rsid w:val="453E3E34"/>
    <w:rsid w:val="4540665E"/>
    <w:rsid w:val="454376B0"/>
    <w:rsid w:val="45552597"/>
    <w:rsid w:val="455F5D5D"/>
    <w:rsid w:val="45690FA7"/>
    <w:rsid w:val="456A4622"/>
    <w:rsid w:val="45725A99"/>
    <w:rsid w:val="457C4423"/>
    <w:rsid w:val="45813BDC"/>
    <w:rsid w:val="45813D1F"/>
    <w:rsid w:val="4586755A"/>
    <w:rsid w:val="45975C45"/>
    <w:rsid w:val="4598219E"/>
    <w:rsid w:val="45996F4C"/>
    <w:rsid w:val="459F1BD7"/>
    <w:rsid w:val="45A6665D"/>
    <w:rsid w:val="45B250D6"/>
    <w:rsid w:val="45C761F2"/>
    <w:rsid w:val="45D03216"/>
    <w:rsid w:val="45D52D33"/>
    <w:rsid w:val="45DD0481"/>
    <w:rsid w:val="45EF5C88"/>
    <w:rsid w:val="45F33945"/>
    <w:rsid w:val="45F426B1"/>
    <w:rsid w:val="45FB3608"/>
    <w:rsid w:val="4604074C"/>
    <w:rsid w:val="4607503E"/>
    <w:rsid w:val="461311EC"/>
    <w:rsid w:val="461355AD"/>
    <w:rsid w:val="46355D6E"/>
    <w:rsid w:val="463A01CE"/>
    <w:rsid w:val="463D3A16"/>
    <w:rsid w:val="463F3A1C"/>
    <w:rsid w:val="46405CA4"/>
    <w:rsid w:val="46565CD2"/>
    <w:rsid w:val="46566D63"/>
    <w:rsid w:val="466977B8"/>
    <w:rsid w:val="466F42A2"/>
    <w:rsid w:val="4678334C"/>
    <w:rsid w:val="467E2BF7"/>
    <w:rsid w:val="468A5D6D"/>
    <w:rsid w:val="46907DC5"/>
    <w:rsid w:val="4692149B"/>
    <w:rsid w:val="4696007E"/>
    <w:rsid w:val="46A26F04"/>
    <w:rsid w:val="46AE1113"/>
    <w:rsid w:val="46B03E1A"/>
    <w:rsid w:val="46B63CD8"/>
    <w:rsid w:val="46BC031D"/>
    <w:rsid w:val="46BD6307"/>
    <w:rsid w:val="46BE23C1"/>
    <w:rsid w:val="46D7054B"/>
    <w:rsid w:val="46E47BE3"/>
    <w:rsid w:val="46F739A9"/>
    <w:rsid w:val="470F5504"/>
    <w:rsid w:val="470F5F1E"/>
    <w:rsid w:val="47163E9A"/>
    <w:rsid w:val="471A209E"/>
    <w:rsid w:val="47211CF7"/>
    <w:rsid w:val="47236C62"/>
    <w:rsid w:val="472A728A"/>
    <w:rsid w:val="472F0502"/>
    <w:rsid w:val="473400BE"/>
    <w:rsid w:val="473A304E"/>
    <w:rsid w:val="473C4C06"/>
    <w:rsid w:val="47421FAF"/>
    <w:rsid w:val="475117DD"/>
    <w:rsid w:val="475E798B"/>
    <w:rsid w:val="476554A3"/>
    <w:rsid w:val="47672FC3"/>
    <w:rsid w:val="476C6650"/>
    <w:rsid w:val="476F6B43"/>
    <w:rsid w:val="477057A1"/>
    <w:rsid w:val="477D5C59"/>
    <w:rsid w:val="47802AAA"/>
    <w:rsid w:val="478960D7"/>
    <w:rsid w:val="478E2764"/>
    <w:rsid w:val="478E65E2"/>
    <w:rsid w:val="47921727"/>
    <w:rsid w:val="479D547C"/>
    <w:rsid w:val="47B3511F"/>
    <w:rsid w:val="47B549B5"/>
    <w:rsid w:val="47BB7783"/>
    <w:rsid w:val="47D52820"/>
    <w:rsid w:val="47D66586"/>
    <w:rsid w:val="47D8583D"/>
    <w:rsid w:val="47EB756F"/>
    <w:rsid w:val="47F94400"/>
    <w:rsid w:val="48036217"/>
    <w:rsid w:val="480D44DD"/>
    <w:rsid w:val="4819670E"/>
    <w:rsid w:val="481B4600"/>
    <w:rsid w:val="481C2D7F"/>
    <w:rsid w:val="48284340"/>
    <w:rsid w:val="483A0A42"/>
    <w:rsid w:val="484C7581"/>
    <w:rsid w:val="484D2A4C"/>
    <w:rsid w:val="485614EB"/>
    <w:rsid w:val="487944C6"/>
    <w:rsid w:val="48882457"/>
    <w:rsid w:val="48885E1E"/>
    <w:rsid w:val="489244E0"/>
    <w:rsid w:val="48AD1DB7"/>
    <w:rsid w:val="48AE0E02"/>
    <w:rsid w:val="48B105F8"/>
    <w:rsid w:val="48B3126C"/>
    <w:rsid w:val="48BE318B"/>
    <w:rsid w:val="48C81DFE"/>
    <w:rsid w:val="48C92C0E"/>
    <w:rsid w:val="48CC54C6"/>
    <w:rsid w:val="48CC5656"/>
    <w:rsid w:val="48E307D2"/>
    <w:rsid w:val="48EF2742"/>
    <w:rsid w:val="48F01625"/>
    <w:rsid w:val="490B1FFD"/>
    <w:rsid w:val="490B7B39"/>
    <w:rsid w:val="490D2E00"/>
    <w:rsid w:val="491B1950"/>
    <w:rsid w:val="493A34E1"/>
    <w:rsid w:val="49496500"/>
    <w:rsid w:val="49567C20"/>
    <w:rsid w:val="495B299A"/>
    <w:rsid w:val="496D5069"/>
    <w:rsid w:val="498B0D77"/>
    <w:rsid w:val="4993741F"/>
    <w:rsid w:val="49A505E9"/>
    <w:rsid w:val="49AC5B1C"/>
    <w:rsid w:val="49B25D72"/>
    <w:rsid w:val="49B26E73"/>
    <w:rsid w:val="49D07F00"/>
    <w:rsid w:val="49D30D0F"/>
    <w:rsid w:val="49DB45C2"/>
    <w:rsid w:val="49E36982"/>
    <w:rsid w:val="49E452AE"/>
    <w:rsid w:val="49EA0FD1"/>
    <w:rsid w:val="49EF0647"/>
    <w:rsid w:val="49F5014A"/>
    <w:rsid w:val="4A12134A"/>
    <w:rsid w:val="4A123BFE"/>
    <w:rsid w:val="4A141822"/>
    <w:rsid w:val="4A222673"/>
    <w:rsid w:val="4A23086B"/>
    <w:rsid w:val="4A316B8B"/>
    <w:rsid w:val="4A3E7136"/>
    <w:rsid w:val="4A425E04"/>
    <w:rsid w:val="4A441917"/>
    <w:rsid w:val="4A443DDB"/>
    <w:rsid w:val="4A5E4054"/>
    <w:rsid w:val="4A7262F5"/>
    <w:rsid w:val="4A745134"/>
    <w:rsid w:val="4A757607"/>
    <w:rsid w:val="4A7941E5"/>
    <w:rsid w:val="4A85443C"/>
    <w:rsid w:val="4A867074"/>
    <w:rsid w:val="4A887FA6"/>
    <w:rsid w:val="4A9862C4"/>
    <w:rsid w:val="4AB07DFD"/>
    <w:rsid w:val="4AB93AC7"/>
    <w:rsid w:val="4AC21F59"/>
    <w:rsid w:val="4AD4486B"/>
    <w:rsid w:val="4AD54332"/>
    <w:rsid w:val="4AE3735F"/>
    <w:rsid w:val="4AF4131D"/>
    <w:rsid w:val="4B0B7642"/>
    <w:rsid w:val="4B0F43FD"/>
    <w:rsid w:val="4B2B575C"/>
    <w:rsid w:val="4B2D33FA"/>
    <w:rsid w:val="4B3F24B6"/>
    <w:rsid w:val="4B3F6B87"/>
    <w:rsid w:val="4B6A2507"/>
    <w:rsid w:val="4B7019D7"/>
    <w:rsid w:val="4B98228F"/>
    <w:rsid w:val="4B9E508A"/>
    <w:rsid w:val="4BB8411E"/>
    <w:rsid w:val="4BDC1351"/>
    <w:rsid w:val="4BE079EF"/>
    <w:rsid w:val="4BEA119F"/>
    <w:rsid w:val="4BFD1438"/>
    <w:rsid w:val="4C083CAB"/>
    <w:rsid w:val="4C0D7560"/>
    <w:rsid w:val="4C1850B5"/>
    <w:rsid w:val="4C192FF2"/>
    <w:rsid w:val="4C2E69A3"/>
    <w:rsid w:val="4C452CD8"/>
    <w:rsid w:val="4C4E3DFC"/>
    <w:rsid w:val="4C600261"/>
    <w:rsid w:val="4C7B3D96"/>
    <w:rsid w:val="4C8E5150"/>
    <w:rsid w:val="4CA179D6"/>
    <w:rsid w:val="4CA50EC6"/>
    <w:rsid w:val="4CA92379"/>
    <w:rsid w:val="4CBC1B14"/>
    <w:rsid w:val="4CCD096F"/>
    <w:rsid w:val="4CD82309"/>
    <w:rsid w:val="4CE161CF"/>
    <w:rsid w:val="4CE51FCA"/>
    <w:rsid w:val="4CEC5CBD"/>
    <w:rsid w:val="4CF13DCE"/>
    <w:rsid w:val="4CF477C0"/>
    <w:rsid w:val="4D010C65"/>
    <w:rsid w:val="4D064B81"/>
    <w:rsid w:val="4D076C68"/>
    <w:rsid w:val="4D0942C2"/>
    <w:rsid w:val="4D0F4E5D"/>
    <w:rsid w:val="4D1A0AF8"/>
    <w:rsid w:val="4D254517"/>
    <w:rsid w:val="4D462882"/>
    <w:rsid w:val="4D603952"/>
    <w:rsid w:val="4D666012"/>
    <w:rsid w:val="4D6949F2"/>
    <w:rsid w:val="4D7106F0"/>
    <w:rsid w:val="4D732597"/>
    <w:rsid w:val="4D873454"/>
    <w:rsid w:val="4D962524"/>
    <w:rsid w:val="4D9812DE"/>
    <w:rsid w:val="4D990D4B"/>
    <w:rsid w:val="4D99230D"/>
    <w:rsid w:val="4DA666CF"/>
    <w:rsid w:val="4DA93D48"/>
    <w:rsid w:val="4DAA3B69"/>
    <w:rsid w:val="4DAD48A8"/>
    <w:rsid w:val="4DAE4479"/>
    <w:rsid w:val="4DC24845"/>
    <w:rsid w:val="4DD30466"/>
    <w:rsid w:val="4DE27358"/>
    <w:rsid w:val="4DEF2E7C"/>
    <w:rsid w:val="4DFA2044"/>
    <w:rsid w:val="4E10002F"/>
    <w:rsid w:val="4E115F86"/>
    <w:rsid w:val="4E144D75"/>
    <w:rsid w:val="4E16550E"/>
    <w:rsid w:val="4E16641E"/>
    <w:rsid w:val="4E19210A"/>
    <w:rsid w:val="4E1C3205"/>
    <w:rsid w:val="4E326509"/>
    <w:rsid w:val="4E3C0FE1"/>
    <w:rsid w:val="4E4C6C18"/>
    <w:rsid w:val="4E6C1E80"/>
    <w:rsid w:val="4E6C2961"/>
    <w:rsid w:val="4E6F1CB9"/>
    <w:rsid w:val="4E715D9B"/>
    <w:rsid w:val="4E800B85"/>
    <w:rsid w:val="4E811BDC"/>
    <w:rsid w:val="4E814DBD"/>
    <w:rsid w:val="4E824484"/>
    <w:rsid w:val="4E8540CC"/>
    <w:rsid w:val="4E956FFA"/>
    <w:rsid w:val="4E9A0258"/>
    <w:rsid w:val="4E9E66F4"/>
    <w:rsid w:val="4EAC00B5"/>
    <w:rsid w:val="4EAD48EF"/>
    <w:rsid w:val="4EB75179"/>
    <w:rsid w:val="4EC93FE6"/>
    <w:rsid w:val="4ECB33EC"/>
    <w:rsid w:val="4ECD3712"/>
    <w:rsid w:val="4ECE5B62"/>
    <w:rsid w:val="4ED44D79"/>
    <w:rsid w:val="4EF055C6"/>
    <w:rsid w:val="4EFC0F08"/>
    <w:rsid w:val="4F0E4B6A"/>
    <w:rsid w:val="4F1135EB"/>
    <w:rsid w:val="4F2F5504"/>
    <w:rsid w:val="4F371CA9"/>
    <w:rsid w:val="4F48585B"/>
    <w:rsid w:val="4F633CE3"/>
    <w:rsid w:val="4F6648FC"/>
    <w:rsid w:val="4F69107A"/>
    <w:rsid w:val="4F6E06CF"/>
    <w:rsid w:val="4F7B7BEF"/>
    <w:rsid w:val="4F99383D"/>
    <w:rsid w:val="4F9A4947"/>
    <w:rsid w:val="4F9C1D73"/>
    <w:rsid w:val="4FAA22B4"/>
    <w:rsid w:val="4FBB5DFE"/>
    <w:rsid w:val="4FC45CF4"/>
    <w:rsid w:val="4FD23264"/>
    <w:rsid w:val="4FD42D8B"/>
    <w:rsid w:val="4FDB125C"/>
    <w:rsid w:val="4FEF4437"/>
    <w:rsid w:val="4FF04C6A"/>
    <w:rsid w:val="5003187C"/>
    <w:rsid w:val="5004298C"/>
    <w:rsid w:val="50226E38"/>
    <w:rsid w:val="502804BB"/>
    <w:rsid w:val="50284351"/>
    <w:rsid w:val="50453268"/>
    <w:rsid w:val="505A1C82"/>
    <w:rsid w:val="50703EB2"/>
    <w:rsid w:val="5074727E"/>
    <w:rsid w:val="50782506"/>
    <w:rsid w:val="50893DEC"/>
    <w:rsid w:val="508D7B60"/>
    <w:rsid w:val="50961951"/>
    <w:rsid w:val="5097064B"/>
    <w:rsid w:val="509D18B9"/>
    <w:rsid w:val="50AE27A1"/>
    <w:rsid w:val="50B951D3"/>
    <w:rsid w:val="50BF07DB"/>
    <w:rsid w:val="50C608E9"/>
    <w:rsid w:val="50C96A35"/>
    <w:rsid w:val="50CA2F6F"/>
    <w:rsid w:val="50D16E75"/>
    <w:rsid w:val="50D4297D"/>
    <w:rsid w:val="50D87412"/>
    <w:rsid w:val="50E76422"/>
    <w:rsid w:val="50E81C01"/>
    <w:rsid w:val="50F51BE1"/>
    <w:rsid w:val="51124B23"/>
    <w:rsid w:val="51144F8F"/>
    <w:rsid w:val="51170357"/>
    <w:rsid w:val="51187F70"/>
    <w:rsid w:val="512246AB"/>
    <w:rsid w:val="513264D6"/>
    <w:rsid w:val="513A04FD"/>
    <w:rsid w:val="513E5B66"/>
    <w:rsid w:val="514065D3"/>
    <w:rsid w:val="514959B4"/>
    <w:rsid w:val="51534787"/>
    <w:rsid w:val="5154430D"/>
    <w:rsid w:val="51643763"/>
    <w:rsid w:val="517A15F8"/>
    <w:rsid w:val="517A3B82"/>
    <w:rsid w:val="51806DF5"/>
    <w:rsid w:val="51812BCD"/>
    <w:rsid w:val="51833204"/>
    <w:rsid w:val="518441AF"/>
    <w:rsid w:val="518C00E6"/>
    <w:rsid w:val="519432B7"/>
    <w:rsid w:val="519816C5"/>
    <w:rsid w:val="51A44192"/>
    <w:rsid w:val="51A563E8"/>
    <w:rsid w:val="51BA6B3C"/>
    <w:rsid w:val="51C131C4"/>
    <w:rsid w:val="51C64926"/>
    <w:rsid w:val="51D24631"/>
    <w:rsid w:val="51E87CA2"/>
    <w:rsid w:val="51EB1E70"/>
    <w:rsid w:val="51F2795A"/>
    <w:rsid w:val="52170BD1"/>
    <w:rsid w:val="5222046C"/>
    <w:rsid w:val="52220692"/>
    <w:rsid w:val="52351EAD"/>
    <w:rsid w:val="523973B0"/>
    <w:rsid w:val="523E0FE8"/>
    <w:rsid w:val="524D652E"/>
    <w:rsid w:val="525022ED"/>
    <w:rsid w:val="525357E6"/>
    <w:rsid w:val="527D5158"/>
    <w:rsid w:val="528E7827"/>
    <w:rsid w:val="52942AAE"/>
    <w:rsid w:val="52A60387"/>
    <w:rsid w:val="52A71534"/>
    <w:rsid w:val="52BF23B9"/>
    <w:rsid w:val="52EA087E"/>
    <w:rsid w:val="52EA668A"/>
    <w:rsid w:val="5307231F"/>
    <w:rsid w:val="53072819"/>
    <w:rsid w:val="53082153"/>
    <w:rsid w:val="530A1C38"/>
    <w:rsid w:val="530F162D"/>
    <w:rsid w:val="531346B4"/>
    <w:rsid w:val="531A7BE6"/>
    <w:rsid w:val="53211B95"/>
    <w:rsid w:val="53260793"/>
    <w:rsid w:val="53350BA5"/>
    <w:rsid w:val="53393C08"/>
    <w:rsid w:val="533A1E94"/>
    <w:rsid w:val="5353404D"/>
    <w:rsid w:val="53543A0E"/>
    <w:rsid w:val="53554AA6"/>
    <w:rsid w:val="535C3EE5"/>
    <w:rsid w:val="535D22D5"/>
    <w:rsid w:val="536056EE"/>
    <w:rsid w:val="53633825"/>
    <w:rsid w:val="536D0EE0"/>
    <w:rsid w:val="53710329"/>
    <w:rsid w:val="53743300"/>
    <w:rsid w:val="538B07F0"/>
    <w:rsid w:val="53914657"/>
    <w:rsid w:val="53B126EC"/>
    <w:rsid w:val="53BC4274"/>
    <w:rsid w:val="53C23825"/>
    <w:rsid w:val="53C57BC8"/>
    <w:rsid w:val="53C60F15"/>
    <w:rsid w:val="53D66798"/>
    <w:rsid w:val="53E24AC3"/>
    <w:rsid w:val="53ED5B92"/>
    <w:rsid w:val="53EF2FE5"/>
    <w:rsid w:val="53F13D68"/>
    <w:rsid w:val="53F4155D"/>
    <w:rsid w:val="53F80ABA"/>
    <w:rsid w:val="53FF2748"/>
    <w:rsid w:val="5407534F"/>
    <w:rsid w:val="5408425B"/>
    <w:rsid w:val="54111BB9"/>
    <w:rsid w:val="541C34C9"/>
    <w:rsid w:val="542F5681"/>
    <w:rsid w:val="543F3DB0"/>
    <w:rsid w:val="54475631"/>
    <w:rsid w:val="544B0F76"/>
    <w:rsid w:val="544B58B6"/>
    <w:rsid w:val="544B7274"/>
    <w:rsid w:val="544F67E1"/>
    <w:rsid w:val="54534CD9"/>
    <w:rsid w:val="54617557"/>
    <w:rsid w:val="54755259"/>
    <w:rsid w:val="54765340"/>
    <w:rsid w:val="547E2BD4"/>
    <w:rsid w:val="54894777"/>
    <w:rsid w:val="548F44E7"/>
    <w:rsid w:val="54A27609"/>
    <w:rsid w:val="54AC4920"/>
    <w:rsid w:val="54B1634D"/>
    <w:rsid w:val="54B43119"/>
    <w:rsid w:val="54C04AEA"/>
    <w:rsid w:val="54CA43E5"/>
    <w:rsid w:val="54D00A93"/>
    <w:rsid w:val="54DD51D9"/>
    <w:rsid w:val="54EF1393"/>
    <w:rsid w:val="54FA5495"/>
    <w:rsid w:val="550C1E3C"/>
    <w:rsid w:val="55133922"/>
    <w:rsid w:val="5522442A"/>
    <w:rsid w:val="552E3ACF"/>
    <w:rsid w:val="553172E8"/>
    <w:rsid w:val="55373368"/>
    <w:rsid w:val="554F125B"/>
    <w:rsid w:val="555277AF"/>
    <w:rsid w:val="5556167A"/>
    <w:rsid w:val="55640F46"/>
    <w:rsid w:val="5570503E"/>
    <w:rsid w:val="55736766"/>
    <w:rsid w:val="557563CD"/>
    <w:rsid w:val="557A55EB"/>
    <w:rsid w:val="55806C86"/>
    <w:rsid w:val="55826369"/>
    <w:rsid w:val="558271AE"/>
    <w:rsid w:val="55876393"/>
    <w:rsid w:val="558A2F4B"/>
    <w:rsid w:val="55987F89"/>
    <w:rsid w:val="559F0BAB"/>
    <w:rsid w:val="55AA0793"/>
    <w:rsid w:val="55AF206E"/>
    <w:rsid w:val="55B56FED"/>
    <w:rsid w:val="55B5741D"/>
    <w:rsid w:val="55B743A2"/>
    <w:rsid w:val="55D94B84"/>
    <w:rsid w:val="55D952D2"/>
    <w:rsid w:val="55E47A11"/>
    <w:rsid w:val="55E52217"/>
    <w:rsid w:val="55E64390"/>
    <w:rsid w:val="55F035DA"/>
    <w:rsid w:val="55F76F8A"/>
    <w:rsid w:val="55F90EF3"/>
    <w:rsid w:val="55FA5022"/>
    <w:rsid w:val="5614120D"/>
    <w:rsid w:val="56286BDD"/>
    <w:rsid w:val="562945E6"/>
    <w:rsid w:val="562C7964"/>
    <w:rsid w:val="56321CAA"/>
    <w:rsid w:val="563C094E"/>
    <w:rsid w:val="56453F88"/>
    <w:rsid w:val="56454664"/>
    <w:rsid w:val="565016D1"/>
    <w:rsid w:val="56530419"/>
    <w:rsid w:val="565B7FE0"/>
    <w:rsid w:val="565C5B48"/>
    <w:rsid w:val="566552D9"/>
    <w:rsid w:val="566C66BC"/>
    <w:rsid w:val="566F11D8"/>
    <w:rsid w:val="56722287"/>
    <w:rsid w:val="56722338"/>
    <w:rsid w:val="56855ABA"/>
    <w:rsid w:val="568974DF"/>
    <w:rsid w:val="568E1C14"/>
    <w:rsid w:val="56904ACD"/>
    <w:rsid w:val="56995E6B"/>
    <w:rsid w:val="569B6C7E"/>
    <w:rsid w:val="569F4908"/>
    <w:rsid w:val="56A438C0"/>
    <w:rsid w:val="56D70F5D"/>
    <w:rsid w:val="56DB1036"/>
    <w:rsid w:val="56DF5136"/>
    <w:rsid w:val="56EB79E6"/>
    <w:rsid w:val="56EE66D8"/>
    <w:rsid w:val="56F23C4D"/>
    <w:rsid w:val="56F76D83"/>
    <w:rsid w:val="57074F2B"/>
    <w:rsid w:val="570C086D"/>
    <w:rsid w:val="570E3537"/>
    <w:rsid w:val="571038EF"/>
    <w:rsid w:val="57496FA4"/>
    <w:rsid w:val="574A3D19"/>
    <w:rsid w:val="574B23DE"/>
    <w:rsid w:val="574E484A"/>
    <w:rsid w:val="57533F10"/>
    <w:rsid w:val="575729F4"/>
    <w:rsid w:val="57594185"/>
    <w:rsid w:val="576F34A7"/>
    <w:rsid w:val="577526A4"/>
    <w:rsid w:val="578365AB"/>
    <w:rsid w:val="57877AF0"/>
    <w:rsid w:val="57892C11"/>
    <w:rsid w:val="578A1E9D"/>
    <w:rsid w:val="579032EB"/>
    <w:rsid w:val="57912156"/>
    <w:rsid w:val="5798123A"/>
    <w:rsid w:val="57A30F41"/>
    <w:rsid w:val="57C328DD"/>
    <w:rsid w:val="57C55333"/>
    <w:rsid w:val="57D51602"/>
    <w:rsid w:val="57F148DF"/>
    <w:rsid w:val="57F57753"/>
    <w:rsid w:val="57F97C9C"/>
    <w:rsid w:val="58063BE8"/>
    <w:rsid w:val="58067AAF"/>
    <w:rsid w:val="581A41E7"/>
    <w:rsid w:val="581B2986"/>
    <w:rsid w:val="58345EDD"/>
    <w:rsid w:val="586A4AFB"/>
    <w:rsid w:val="58752F65"/>
    <w:rsid w:val="58780F7B"/>
    <w:rsid w:val="58883136"/>
    <w:rsid w:val="58883B1A"/>
    <w:rsid w:val="588E6E5C"/>
    <w:rsid w:val="58901FA5"/>
    <w:rsid w:val="589607A5"/>
    <w:rsid w:val="58974A3C"/>
    <w:rsid w:val="589D4F1C"/>
    <w:rsid w:val="58C95385"/>
    <w:rsid w:val="58E138BE"/>
    <w:rsid w:val="58F77115"/>
    <w:rsid w:val="58FB7F7A"/>
    <w:rsid w:val="59000386"/>
    <w:rsid w:val="59214BAF"/>
    <w:rsid w:val="59232147"/>
    <w:rsid w:val="5924471A"/>
    <w:rsid w:val="592E61EB"/>
    <w:rsid w:val="59346071"/>
    <w:rsid w:val="593F43CA"/>
    <w:rsid w:val="59527B53"/>
    <w:rsid w:val="595B6C2E"/>
    <w:rsid w:val="596817F7"/>
    <w:rsid w:val="59803A9A"/>
    <w:rsid w:val="59835579"/>
    <w:rsid w:val="5994456B"/>
    <w:rsid w:val="599C35CC"/>
    <w:rsid w:val="59AD26C4"/>
    <w:rsid w:val="59B578F9"/>
    <w:rsid w:val="59B6676C"/>
    <w:rsid w:val="59BE0B4B"/>
    <w:rsid w:val="59C315CC"/>
    <w:rsid w:val="59C663EF"/>
    <w:rsid w:val="59DE6CFE"/>
    <w:rsid w:val="59E134E6"/>
    <w:rsid w:val="59E260B8"/>
    <w:rsid w:val="59E972C4"/>
    <w:rsid w:val="59F83C0C"/>
    <w:rsid w:val="59FC24CA"/>
    <w:rsid w:val="5A011A71"/>
    <w:rsid w:val="5A0B354E"/>
    <w:rsid w:val="5A0E11F7"/>
    <w:rsid w:val="5A302841"/>
    <w:rsid w:val="5A311C57"/>
    <w:rsid w:val="5A352B66"/>
    <w:rsid w:val="5A3932C2"/>
    <w:rsid w:val="5A3A7753"/>
    <w:rsid w:val="5A41435F"/>
    <w:rsid w:val="5A430956"/>
    <w:rsid w:val="5A430AFF"/>
    <w:rsid w:val="5A4745EE"/>
    <w:rsid w:val="5A506B4F"/>
    <w:rsid w:val="5A526897"/>
    <w:rsid w:val="5A530D40"/>
    <w:rsid w:val="5A566AE0"/>
    <w:rsid w:val="5A690E43"/>
    <w:rsid w:val="5A717F53"/>
    <w:rsid w:val="5A777E8C"/>
    <w:rsid w:val="5A881AC5"/>
    <w:rsid w:val="5A905078"/>
    <w:rsid w:val="5A9255B1"/>
    <w:rsid w:val="5AAC36DA"/>
    <w:rsid w:val="5AB4265E"/>
    <w:rsid w:val="5AB44003"/>
    <w:rsid w:val="5AB56C02"/>
    <w:rsid w:val="5AC36494"/>
    <w:rsid w:val="5ACF5F45"/>
    <w:rsid w:val="5AD6664F"/>
    <w:rsid w:val="5AE10F55"/>
    <w:rsid w:val="5AEA1B89"/>
    <w:rsid w:val="5AF31637"/>
    <w:rsid w:val="5AFD4C2B"/>
    <w:rsid w:val="5B0C39E5"/>
    <w:rsid w:val="5B0C4DC4"/>
    <w:rsid w:val="5B1E1522"/>
    <w:rsid w:val="5B2032C9"/>
    <w:rsid w:val="5B2215C3"/>
    <w:rsid w:val="5B472FC1"/>
    <w:rsid w:val="5B48325A"/>
    <w:rsid w:val="5B4C04F1"/>
    <w:rsid w:val="5B4C2C26"/>
    <w:rsid w:val="5B6C4654"/>
    <w:rsid w:val="5B7B5A0D"/>
    <w:rsid w:val="5B7C6814"/>
    <w:rsid w:val="5B86357E"/>
    <w:rsid w:val="5B8702F3"/>
    <w:rsid w:val="5BB0064D"/>
    <w:rsid w:val="5BB41B7E"/>
    <w:rsid w:val="5BB674A4"/>
    <w:rsid w:val="5BCE7991"/>
    <w:rsid w:val="5BD61ED2"/>
    <w:rsid w:val="5BDB42BF"/>
    <w:rsid w:val="5BDF71D6"/>
    <w:rsid w:val="5BF33C3E"/>
    <w:rsid w:val="5C0721D3"/>
    <w:rsid w:val="5C112BF5"/>
    <w:rsid w:val="5C1852DA"/>
    <w:rsid w:val="5C1C6CF5"/>
    <w:rsid w:val="5C453076"/>
    <w:rsid w:val="5C6D4CCA"/>
    <w:rsid w:val="5C833DD3"/>
    <w:rsid w:val="5C8E54BB"/>
    <w:rsid w:val="5CB62ADC"/>
    <w:rsid w:val="5CB76A79"/>
    <w:rsid w:val="5CC51C71"/>
    <w:rsid w:val="5CC93FC8"/>
    <w:rsid w:val="5CC97137"/>
    <w:rsid w:val="5CD435A8"/>
    <w:rsid w:val="5CD4547D"/>
    <w:rsid w:val="5CEB5FAD"/>
    <w:rsid w:val="5CED2DFE"/>
    <w:rsid w:val="5CF74C85"/>
    <w:rsid w:val="5CFD6518"/>
    <w:rsid w:val="5D026FF5"/>
    <w:rsid w:val="5D075D7D"/>
    <w:rsid w:val="5D3E702D"/>
    <w:rsid w:val="5D4D6625"/>
    <w:rsid w:val="5D601D79"/>
    <w:rsid w:val="5D6F6FF2"/>
    <w:rsid w:val="5D7C705D"/>
    <w:rsid w:val="5D8F741A"/>
    <w:rsid w:val="5D9B2774"/>
    <w:rsid w:val="5DAA2CD8"/>
    <w:rsid w:val="5DB25201"/>
    <w:rsid w:val="5DC10398"/>
    <w:rsid w:val="5DC96AE9"/>
    <w:rsid w:val="5DCF33B1"/>
    <w:rsid w:val="5DDF771A"/>
    <w:rsid w:val="5DE53085"/>
    <w:rsid w:val="5DEB6562"/>
    <w:rsid w:val="5DEE536B"/>
    <w:rsid w:val="5DF6281C"/>
    <w:rsid w:val="5E024EA9"/>
    <w:rsid w:val="5E0D3F6D"/>
    <w:rsid w:val="5E157199"/>
    <w:rsid w:val="5E170569"/>
    <w:rsid w:val="5E1D28C1"/>
    <w:rsid w:val="5E405855"/>
    <w:rsid w:val="5E4D21E4"/>
    <w:rsid w:val="5E4D30F2"/>
    <w:rsid w:val="5E763A65"/>
    <w:rsid w:val="5E795CCB"/>
    <w:rsid w:val="5E900715"/>
    <w:rsid w:val="5E960D78"/>
    <w:rsid w:val="5EA42EF0"/>
    <w:rsid w:val="5EAF304D"/>
    <w:rsid w:val="5EB9789F"/>
    <w:rsid w:val="5EBD61E1"/>
    <w:rsid w:val="5EBF09EF"/>
    <w:rsid w:val="5EC33495"/>
    <w:rsid w:val="5EDE3CC1"/>
    <w:rsid w:val="5EEA606A"/>
    <w:rsid w:val="5EFA34DB"/>
    <w:rsid w:val="5EFB2EC6"/>
    <w:rsid w:val="5EFC3866"/>
    <w:rsid w:val="5F004B71"/>
    <w:rsid w:val="5F034041"/>
    <w:rsid w:val="5F0411D5"/>
    <w:rsid w:val="5F0E2986"/>
    <w:rsid w:val="5F133A28"/>
    <w:rsid w:val="5F1A2E8F"/>
    <w:rsid w:val="5F204E8F"/>
    <w:rsid w:val="5F382B95"/>
    <w:rsid w:val="5F3861F7"/>
    <w:rsid w:val="5F3B2FAA"/>
    <w:rsid w:val="5F3C2D46"/>
    <w:rsid w:val="5F3C56B2"/>
    <w:rsid w:val="5F490442"/>
    <w:rsid w:val="5F4F0495"/>
    <w:rsid w:val="5F6C43FF"/>
    <w:rsid w:val="5F6E440B"/>
    <w:rsid w:val="5F7315C3"/>
    <w:rsid w:val="5F74752D"/>
    <w:rsid w:val="5F7A1547"/>
    <w:rsid w:val="5FA92007"/>
    <w:rsid w:val="5FBE5D7E"/>
    <w:rsid w:val="5FC42F96"/>
    <w:rsid w:val="5FC7497D"/>
    <w:rsid w:val="5FCC6334"/>
    <w:rsid w:val="5FD65CE6"/>
    <w:rsid w:val="5FD850F7"/>
    <w:rsid w:val="5FDC3D24"/>
    <w:rsid w:val="5FE450AA"/>
    <w:rsid w:val="5FE6251F"/>
    <w:rsid w:val="5FF4127D"/>
    <w:rsid w:val="600736A7"/>
    <w:rsid w:val="600A7AD3"/>
    <w:rsid w:val="601901A8"/>
    <w:rsid w:val="6019793D"/>
    <w:rsid w:val="60201EF1"/>
    <w:rsid w:val="60393AC4"/>
    <w:rsid w:val="603B3B1B"/>
    <w:rsid w:val="603B3DE2"/>
    <w:rsid w:val="605A0910"/>
    <w:rsid w:val="605A2DB6"/>
    <w:rsid w:val="60652785"/>
    <w:rsid w:val="607E58BA"/>
    <w:rsid w:val="60834479"/>
    <w:rsid w:val="60836D4E"/>
    <w:rsid w:val="60890BED"/>
    <w:rsid w:val="6090627B"/>
    <w:rsid w:val="60A022F7"/>
    <w:rsid w:val="60A90AA4"/>
    <w:rsid w:val="60AD123A"/>
    <w:rsid w:val="60AF69FA"/>
    <w:rsid w:val="60BE721C"/>
    <w:rsid w:val="60CA37E8"/>
    <w:rsid w:val="60CA7959"/>
    <w:rsid w:val="60E7438D"/>
    <w:rsid w:val="60F31CAA"/>
    <w:rsid w:val="60F32E54"/>
    <w:rsid w:val="610B4E43"/>
    <w:rsid w:val="6114520D"/>
    <w:rsid w:val="612C2DDA"/>
    <w:rsid w:val="612F1867"/>
    <w:rsid w:val="614A5AFF"/>
    <w:rsid w:val="615069D7"/>
    <w:rsid w:val="615859FB"/>
    <w:rsid w:val="61586AFB"/>
    <w:rsid w:val="61593424"/>
    <w:rsid w:val="617800ED"/>
    <w:rsid w:val="61814910"/>
    <w:rsid w:val="618168D2"/>
    <w:rsid w:val="618F0DAF"/>
    <w:rsid w:val="619B366B"/>
    <w:rsid w:val="619C44ED"/>
    <w:rsid w:val="61C86422"/>
    <w:rsid w:val="61DA14FC"/>
    <w:rsid w:val="61EB2FBC"/>
    <w:rsid w:val="61F60278"/>
    <w:rsid w:val="61F637CF"/>
    <w:rsid w:val="61FE4D99"/>
    <w:rsid w:val="62092C31"/>
    <w:rsid w:val="620B1902"/>
    <w:rsid w:val="620B3B1E"/>
    <w:rsid w:val="62140743"/>
    <w:rsid w:val="6229130E"/>
    <w:rsid w:val="622E4875"/>
    <w:rsid w:val="624112CE"/>
    <w:rsid w:val="624202BD"/>
    <w:rsid w:val="62583B51"/>
    <w:rsid w:val="626A43C5"/>
    <w:rsid w:val="626C3AED"/>
    <w:rsid w:val="62882CE0"/>
    <w:rsid w:val="62971BB3"/>
    <w:rsid w:val="6299030D"/>
    <w:rsid w:val="629B52D3"/>
    <w:rsid w:val="62AA1D0F"/>
    <w:rsid w:val="62B42E93"/>
    <w:rsid w:val="62BB7216"/>
    <w:rsid w:val="62C40979"/>
    <w:rsid w:val="62D3124C"/>
    <w:rsid w:val="62E02B8D"/>
    <w:rsid w:val="62FE3401"/>
    <w:rsid w:val="63055FF2"/>
    <w:rsid w:val="631757F9"/>
    <w:rsid w:val="631A53F8"/>
    <w:rsid w:val="63511808"/>
    <w:rsid w:val="63551503"/>
    <w:rsid w:val="63613734"/>
    <w:rsid w:val="63640A6B"/>
    <w:rsid w:val="63642485"/>
    <w:rsid w:val="637365F7"/>
    <w:rsid w:val="637D253A"/>
    <w:rsid w:val="637F5D3C"/>
    <w:rsid w:val="6382324F"/>
    <w:rsid w:val="63974613"/>
    <w:rsid w:val="63B20A0F"/>
    <w:rsid w:val="63BD24DD"/>
    <w:rsid w:val="63C031EE"/>
    <w:rsid w:val="63C60482"/>
    <w:rsid w:val="63DC4D7D"/>
    <w:rsid w:val="63F14044"/>
    <w:rsid w:val="63F55508"/>
    <w:rsid w:val="63FC1F6B"/>
    <w:rsid w:val="63FD7DFB"/>
    <w:rsid w:val="63FE5B5A"/>
    <w:rsid w:val="63FF7A20"/>
    <w:rsid w:val="640F2F71"/>
    <w:rsid w:val="64103C87"/>
    <w:rsid w:val="641832EE"/>
    <w:rsid w:val="643A6703"/>
    <w:rsid w:val="645B3C0B"/>
    <w:rsid w:val="648138B5"/>
    <w:rsid w:val="648C09CB"/>
    <w:rsid w:val="64A243EE"/>
    <w:rsid w:val="64AC2119"/>
    <w:rsid w:val="64B034AC"/>
    <w:rsid w:val="64B46137"/>
    <w:rsid w:val="64B83DF2"/>
    <w:rsid w:val="64D17EF3"/>
    <w:rsid w:val="64D3670F"/>
    <w:rsid w:val="64E041B3"/>
    <w:rsid w:val="64FA3D39"/>
    <w:rsid w:val="650C059B"/>
    <w:rsid w:val="651266AF"/>
    <w:rsid w:val="651B4FE4"/>
    <w:rsid w:val="652224CC"/>
    <w:rsid w:val="65301D9A"/>
    <w:rsid w:val="65324EC3"/>
    <w:rsid w:val="653F3555"/>
    <w:rsid w:val="654617AD"/>
    <w:rsid w:val="655D69D1"/>
    <w:rsid w:val="65727F69"/>
    <w:rsid w:val="65890241"/>
    <w:rsid w:val="6591491A"/>
    <w:rsid w:val="6593369E"/>
    <w:rsid w:val="65B63C41"/>
    <w:rsid w:val="65C9448B"/>
    <w:rsid w:val="65CD3E91"/>
    <w:rsid w:val="65CD4ADD"/>
    <w:rsid w:val="65D55F1A"/>
    <w:rsid w:val="65E03B3B"/>
    <w:rsid w:val="65F25526"/>
    <w:rsid w:val="662B11CF"/>
    <w:rsid w:val="662E041A"/>
    <w:rsid w:val="66310E98"/>
    <w:rsid w:val="663576C4"/>
    <w:rsid w:val="665519E1"/>
    <w:rsid w:val="665A4331"/>
    <w:rsid w:val="6667786A"/>
    <w:rsid w:val="666E6AD7"/>
    <w:rsid w:val="667C530A"/>
    <w:rsid w:val="66874DC2"/>
    <w:rsid w:val="668E017C"/>
    <w:rsid w:val="66925AFD"/>
    <w:rsid w:val="66957EE4"/>
    <w:rsid w:val="669C53DB"/>
    <w:rsid w:val="66AC52B2"/>
    <w:rsid w:val="66BE0A83"/>
    <w:rsid w:val="66C60428"/>
    <w:rsid w:val="66CD6B07"/>
    <w:rsid w:val="66EE41ED"/>
    <w:rsid w:val="66F4012B"/>
    <w:rsid w:val="67021E75"/>
    <w:rsid w:val="67125B13"/>
    <w:rsid w:val="67151BE3"/>
    <w:rsid w:val="671D3972"/>
    <w:rsid w:val="672B664E"/>
    <w:rsid w:val="673664F8"/>
    <w:rsid w:val="6737379D"/>
    <w:rsid w:val="674E3467"/>
    <w:rsid w:val="674E49B6"/>
    <w:rsid w:val="67552613"/>
    <w:rsid w:val="67567AA1"/>
    <w:rsid w:val="67630E67"/>
    <w:rsid w:val="67636D87"/>
    <w:rsid w:val="67684006"/>
    <w:rsid w:val="676D5D7D"/>
    <w:rsid w:val="678968D3"/>
    <w:rsid w:val="679D43EB"/>
    <w:rsid w:val="67A23687"/>
    <w:rsid w:val="67A25A1C"/>
    <w:rsid w:val="67A269B2"/>
    <w:rsid w:val="67B072EE"/>
    <w:rsid w:val="67BD23CC"/>
    <w:rsid w:val="67BD7CA8"/>
    <w:rsid w:val="67D91BC4"/>
    <w:rsid w:val="67DD28A5"/>
    <w:rsid w:val="67F47D0D"/>
    <w:rsid w:val="67F7123D"/>
    <w:rsid w:val="67FA0663"/>
    <w:rsid w:val="67FE5FCB"/>
    <w:rsid w:val="68082418"/>
    <w:rsid w:val="680E6327"/>
    <w:rsid w:val="68191AA5"/>
    <w:rsid w:val="68207752"/>
    <w:rsid w:val="682A1DEC"/>
    <w:rsid w:val="682E2804"/>
    <w:rsid w:val="68312A11"/>
    <w:rsid w:val="684E367E"/>
    <w:rsid w:val="684E3F7B"/>
    <w:rsid w:val="686747AC"/>
    <w:rsid w:val="687927C5"/>
    <w:rsid w:val="687D1CEC"/>
    <w:rsid w:val="688474EE"/>
    <w:rsid w:val="68991B4A"/>
    <w:rsid w:val="68BD0B12"/>
    <w:rsid w:val="68BE1E4A"/>
    <w:rsid w:val="68CF1072"/>
    <w:rsid w:val="68CF6213"/>
    <w:rsid w:val="68D87F08"/>
    <w:rsid w:val="68D915B7"/>
    <w:rsid w:val="68E2147F"/>
    <w:rsid w:val="68E949A2"/>
    <w:rsid w:val="68EF1A04"/>
    <w:rsid w:val="68FB799E"/>
    <w:rsid w:val="69096E68"/>
    <w:rsid w:val="69150E62"/>
    <w:rsid w:val="6924790D"/>
    <w:rsid w:val="692801FB"/>
    <w:rsid w:val="693A2861"/>
    <w:rsid w:val="693B354E"/>
    <w:rsid w:val="693B35E2"/>
    <w:rsid w:val="69686DD7"/>
    <w:rsid w:val="696905FC"/>
    <w:rsid w:val="696B7B80"/>
    <w:rsid w:val="697E2847"/>
    <w:rsid w:val="69807241"/>
    <w:rsid w:val="698865ED"/>
    <w:rsid w:val="69891FBA"/>
    <w:rsid w:val="69982221"/>
    <w:rsid w:val="69991647"/>
    <w:rsid w:val="699D64FC"/>
    <w:rsid w:val="699F270D"/>
    <w:rsid w:val="69A06CE9"/>
    <w:rsid w:val="69AE287C"/>
    <w:rsid w:val="69B164DE"/>
    <w:rsid w:val="69B43CBF"/>
    <w:rsid w:val="69BF453C"/>
    <w:rsid w:val="69DC5723"/>
    <w:rsid w:val="69E865A2"/>
    <w:rsid w:val="69FD2CC3"/>
    <w:rsid w:val="6A2E7941"/>
    <w:rsid w:val="6A7368ED"/>
    <w:rsid w:val="6A792E92"/>
    <w:rsid w:val="6A794044"/>
    <w:rsid w:val="6A7F100A"/>
    <w:rsid w:val="6A852FD9"/>
    <w:rsid w:val="6A8821E1"/>
    <w:rsid w:val="6A9A683D"/>
    <w:rsid w:val="6A9E10F7"/>
    <w:rsid w:val="6ABD2140"/>
    <w:rsid w:val="6AC17696"/>
    <w:rsid w:val="6AC46AC9"/>
    <w:rsid w:val="6AC8089D"/>
    <w:rsid w:val="6ACF7E9D"/>
    <w:rsid w:val="6AE20921"/>
    <w:rsid w:val="6AF926BB"/>
    <w:rsid w:val="6AFC20EB"/>
    <w:rsid w:val="6AFD4CD4"/>
    <w:rsid w:val="6B0159BB"/>
    <w:rsid w:val="6B1220B6"/>
    <w:rsid w:val="6B1D2DA6"/>
    <w:rsid w:val="6B1F0F4D"/>
    <w:rsid w:val="6B2428F0"/>
    <w:rsid w:val="6B2C451C"/>
    <w:rsid w:val="6B3305E8"/>
    <w:rsid w:val="6B442781"/>
    <w:rsid w:val="6B492A87"/>
    <w:rsid w:val="6B545F7A"/>
    <w:rsid w:val="6B5D5131"/>
    <w:rsid w:val="6B6706EE"/>
    <w:rsid w:val="6B7A0F40"/>
    <w:rsid w:val="6B7D5C78"/>
    <w:rsid w:val="6B7E2EFD"/>
    <w:rsid w:val="6B8E0848"/>
    <w:rsid w:val="6B900CD1"/>
    <w:rsid w:val="6B985FBD"/>
    <w:rsid w:val="6BA05A36"/>
    <w:rsid w:val="6BA43158"/>
    <w:rsid w:val="6BAC6E75"/>
    <w:rsid w:val="6BCD60A1"/>
    <w:rsid w:val="6BDD5041"/>
    <w:rsid w:val="6BE52E65"/>
    <w:rsid w:val="6BEA2D3E"/>
    <w:rsid w:val="6BEB4563"/>
    <w:rsid w:val="6C0C2146"/>
    <w:rsid w:val="6C0D3B7E"/>
    <w:rsid w:val="6C114E5A"/>
    <w:rsid w:val="6C2B166F"/>
    <w:rsid w:val="6C2E137C"/>
    <w:rsid w:val="6C304C3F"/>
    <w:rsid w:val="6C391EC1"/>
    <w:rsid w:val="6C643A79"/>
    <w:rsid w:val="6C697939"/>
    <w:rsid w:val="6C7E59FE"/>
    <w:rsid w:val="6C8159FE"/>
    <w:rsid w:val="6C886969"/>
    <w:rsid w:val="6C912A40"/>
    <w:rsid w:val="6C91647C"/>
    <w:rsid w:val="6C94534E"/>
    <w:rsid w:val="6C9D112C"/>
    <w:rsid w:val="6CA46444"/>
    <w:rsid w:val="6CB245B3"/>
    <w:rsid w:val="6CB57902"/>
    <w:rsid w:val="6CBC1806"/>
    <w:rsid w:val="6CBF243C"/>
    <w:rsid w:val="6CC0134D"/>
    <w:rsid w:val="6CCB4D48"/>
    <w:rsid w:val="6CCC03E2"/>
    <w:rsid w:val="6CDB2212"/>
    <w:rsid w:val="6CE86A49"/>
    <w:rsid w:val="6CEA3EC8"/>
    <w:rsid w:val="6CF546BA"/>
    <w:rsid w:val="6CFE2D32"/>
    <w:rsid w:val="6D092BA5"/>
    <w:rsid w:val="6D1218A3"/>
    <w:rsid w:val="6D2352EA"/>
    <w:rsid w:val="6D425E2F"/>
    <w:rsid w:val="6D44675C"/>
    <w:rsid w:val="6D4E42E9"/>
    <w:rsid w:val="6D625105"/>
    <w:rsid w:val="6D6722C8"/>
    <w:rsid w:val="6D6B329A"/>
    <w:rsid w:val="6D6E575C"/>
    <w:rsid w:val="6D775C85"/>
    <w:rsid w:val="6D812DE8"/>
    <w:rsid w:val="6D835386"/>
    <w:rsid w:val="6D88608E"/>
    <w:rsid w:val="6D8A38D7"/>
    <w:rsid w:val="6D96743D"/>
    <w:rsid w:val="6D9E2611"/>
    <w:rsid w:val="6DA13DD9"/>
    <w:rsid w:val="6DA1628C"/>
    <w:rsid w:val="6DA2080B"/>
    <w:rsid w:val="6DC141F7"/>
    <w:rsid w:val="6DD47B70"/>
    <w:rsid w:val="6DD559AA"/>
    <w:rsid w:val="6DE31202"/>
    <w:rsid w:val="6DE77959"/>
    <w:rsid w:val="6DF3096B"/>
    <w:rsid w:val="6DFE4BFA"/>
    <w:rsid w:val="6E005F54"/>
    <w:rsid w:val="6E1E06BD"/>
    <w:rsid w:val="6E1E5EC6"/>
    <w:rsid w:val="6E207FCF"/>
    <w:rsid w:val="6E3E061A"/>
    <w:rsid w:val="6E444A06"/>
    <w:rsid w:val="6E4A1433"/>
    <w:rsid w:val="6E503E3D"/>
    <w:rsid w:val="6E567FDC"/>
    <w:rsid w:val="6E5A02CB"/>
    <w:rsid w:val="6E5B7D25"/>
    <w:rsid w:val="6E726BD0"/>
    <w:rsid w:val="6E89389B"/>
    <w:rsid w:val="6E924514"/>
    <w:rsid w:val="6E9356AE"/>
    <w:rsid w:val="6EA01AC8"/>
    <w:rsid w:val="6EC1442B"/>
    <w:rsid w:val="6EC85788"/>
    <w:rsid w:val="6EC932F1"/>
    <w:rsid w:val="6ECB4A7D"/>
    <w:rsid w:val="6ECF296E"/>
    <w:rsid w:val="6ED61053"/>
    <w:rsid w:val="6EE04BA6"/>
    <w:rsid w:val="6EE15171"/>
    <w:rsid w:val="6EE17DA2"/>
    <w:rsid w:val="6EEB002B"/>
    <w:rsid w:val="6EF03E70"/>
    <w:rsid w:val="6EF756D9"/>
    <w:rsid w:val="6EFF2B85"/>
    <w:rsid w:val="6F0C182C"/>
    <w:rsid w:val="6F0E2D63"/>
    <w:rsid w:val="6F1064B4"/>
    <w:rsid w:val="6F170981"/>
    <w:rsid w:val="6F295267"/>
    <w:rsid w:val="6F442E0A"/>
    <w:rsid w:val="6F4760D3"/>
    <w:rsid w:val="6F527686"/>
    <w:rsid w:val="6F527F80"/>
    <w:rsid w:val="6F656D1D"/>
    <w:rsid w:val="6F710798"/>
    <w:rsid w:val="6F7D7495"/>
    <w:rsid w:val="6F8B6862"/>
    <w:rsid w:val="6F993563"/>
    <w:rsid w:val="6F9D1A42"/>
    <w:rsid w:val="6FA309F6"/>
    <w:rsid w:val="6FA46F26"/>
    <w:rsid w:val="6FA76613"/>
    <w:rsid w:val="6FAC5C68"/>
    <w:rsid w:val="6FB336AB"/>
    <w:rsid w:val="6FB8329C"/>
    <w:rsid w:val="6FBC4973"/>
    <w:rsid w:val="6FCA6916"/>
    <w:rsid w:val="6FD255D2"/>
    <w:rsid w:val="6FD77550"/>
    <w:rsid w:val="6FF04C5F"/>
    <w:rsid w:val="6FF07FBA"/>
    <w:rsid w:val="6FFF78AF"/>
    <w:rsid w:val="70025492"/>
    <w:rsid w:val="7002588E"/>
    <w:rsid w:val="70037688"/>
    <w:rsid w:val="700F4817"/>
    <w:rsid w:val="7011613F"/>
    <w:rsid w:val="70215085"/>
    <w:rsid w:val="702444BF"/>
    <w:rsid w:val="70296D58"/>
    <w:rsid w:val="70326E99"/>
    <w:rsid w:val="703C1CC0"/>
    <w:rsid w:val="705012FC"/>
    <w:rsid w:val="705263B8"/>
    <w:rsid w:val="70543AE0"/>
    <w:rsid w:val="70580B64"/>
    <w:rsid w:val="70580C36"/>
    <w:rsid w:val="705D25E6"/>
    <w:rsid w:val="707018B1"/>
    <w:rsid w:val="707545DC"/>
    <w:rsid w:val="707E4F42"/>
    <w:rsid w:val="70831875"/>
    <w:rsid w:val="708B3363"/>
    <w:rsid w:val="708F58D6"/>
    <w:rsid w:val="7096448D"/>
    <w:rsid w:val="70A012E7"/>
    <w:rsid w:val="70A51E64"/>
    <w:rsid w:val="70C80E89"/>
    <w:rsid w:val="70DC2EC4"/>
    <w:rsid w:val="70DE1A17"/>
    <w:rsid w:val="70EB5D07"/>
    <w:rsid w:val="70F93F40"/>
    <w:rsid w:val="71063B26"/>
    <w:rsid w:val="710E6A40"/>
    <w:rsid w:val="71132B7B"/>
    <w:rsid w:val="71344275"/>
    <w:rsid w:val="7136337F"/>
    <w:rsid w:val="713948A9"/>
    <w:rsid w:val="713C16AF"/>
    <w:rsid w:val="713D0302"/>
    <w:rsid w:val="714F1690"/>
    <w:rsid w:val="71864A25"/>
    <w:rsid w:val="718A4EF3"/>
    <w:rsid w:val="718D7A59"/>
    <w:rsid w:val="71953D62"/>
    <w:rsid w:val="71966CAB"/>
    <w:rsid w:val="71973BA6"/>
    <w:rsid w:val="719E09FD"/>
    <w:rsid w:val="71BB6A0D"/>
    <w:rsid w:val="71C32E5E"/>
    <w:rsid w:val="71D86827"/>
    <w:rsid w:val="71E13426"/>
    <w:rsid w:val="71E24427"/>
    <w:rsid w:val="71F85B1F"/>
    <w:rsid w:val="71F922CE"/>
    <w:rsid w:val="720E5EB2"/>
    <w:rsid w:val="72160340"/>
    <w:rsid w:val="722C4DAC"/>
    <w:rsid w:val="72327259"/>
    <w:rsid w:val="72367941"/>
    <w:rsid w:val="723C0F51"/>
    <w:rsid w:val="72511CD1"/>
    <w:rsid w:val="72533032"/>
    <w:rsid w:val="72543F34"/>
    <w:rsid w:val="72577308"/>
    <w:rsid w:val="725F5F29"/>
    <w:rsid w:val="72686B4E"/>
    <w:rsid w:val="726C5B58"/>
    <w:rsid w:val="726E5ED2"/>
    <w:rsid w:val="72890F90"/>
    <w:rsid w:val="728A03B9"/>
    <w:rsid w:val="729A1F91"/>
    <w:rsid w:val="729B526B"/>
    <w:rsid w:val="729B7F5D"/>
    <w:rsid w:val="729E08FD"/>
    <w:rsid w:val="72A11224"/>
    <w:rsid w:val="72A73C21"/>
    <w:rsid w:val="72B1016A"/>
    <w:rsid w:val="72B45552"/>
    <w:rsid w:val="72BA0D78"/>
    <w:rsid w:val="72C76355"/>
    <w:rsid w:val="72D40CF8"/>
    <w:rsid w:val="72E4430B"/>
    <w:rsid w:val="72EF2D6B"/>
    <w:rsid w:val="72F26ADC"/>
    <w:rsid w:val="72F359D6"/>
    <w:rsid w:val="72F6070C"/>
    <w:rsid w:val="72FA1BAB"/>
    <w:rsid w:val="72FA503A"/>
    <w:rsid w:val="72FD5F5F"/>
    <w:rsid w:val="73002297"/>
    <w:rsid w:val="73260532"/>
    <w:rsid w:val="73293536"/>
    <w:rsid w:val="732A0EEA"/>
    <w:rsid w:val="733710D7"/>
    <w:rsid w:val="733E7848"/>
    <w:rsid w:val="734E66CE"/>
    <w:rsid w:val="73520ADD"/>
    <w:rsid w:val="735C35E2"/>
    <w:rsid w:val="735D3732"/>
    <w:rsid w:val="736327FB"/>
    <w:rsid w:val="736A0807"/>
    <w:rsid w:val="737C2FD9"/>
    <w:rsid w:val="73943580"/>
    <w:rsid w:val="73943F6B"/>
    <w:rsid w:val="73A70472"/>
    <w:rsid w:val="73AF694A"/>
    <w:rsid w:val="73B43D60"/>
    <w:rsid w:val="73C9134F"/>
    <w:rsid w:val="73E76135"/>
    <w:rsid w:val="74050213"/>
    <w:rsid w:val="741C480E"/>
    <w:rsid w:val="741C5405"/>
    <w:rsid w:val="743A4697"/>
    <w:rsid w:val="743C4953"/>
    <w:rsid w:val="743D2174"/>
    <w:rsid w:val="74406F0B"/>
    <w:rsid w:val="745F305B"/>
    <w:rsid w:val="746A32DA"/>
    <w:rsid w:val="747139DB"/>
    <w:rsid w:val="74717BEC"/>
    <w:rsid w:val="74733229"/>
    <w:rsid w:val="74A3192B"/>
    <w:rsid w:val="74A7194C"/>
    <w:rsid w:val="74AC5812"/>
    <w:rsid w:val="74AF7E6D"/>
    <w:rsid w:val="74B6565E"/>
    <w:rsid w:val="74BB6FCD"/>
    <w:rsid w:val="74BD26A5"/>
    <w:rsid w:val="74C05CAB"/>
    <w:rsid w:val="74C94EA6"/>
    <w:rsid w:val="74CA499D"/>
    <w:rsid w:val="74DD1026"/>
    <w:rsid w:val="74DD6D8C"/>
    <w:rsid w:val="74E91D0A"/>
    <w:rsid w:val="74ED0250"/>
    <w:rsid w:val="750A0AE6"/>
    <w:rsid w:val="751C241E"/>
    <w:rsid w:val="751F5F9A"/>
    <w:rsid w:val="75500747"/>
    <w:rsid w:val="755851C8"/>
    <w:rsid w:val="75644A8D"/>
    <w:rsid w:val="756676CD"/>
    <w:rsid w:val="756A52BF"/>
    <w:rsid w:val="75886E1C"/>
    <w:rsid w:val="75982232"/>
    <w:rsid w:val="759C5EA5"/>
    <w:rsid w:val="75AB52F9"/>
    <w:rsid w:val="75B908ED"/>
    <w:rsid w:val="75BF2167"/>
    <w:rsid w:val="75C512A6"/>
    <w:rsid w:val="75CD470A"/>
    <w:rsid w:val="75D3258A"/>
    <w:rsid w:val="75E4193D"/>
    <w:rsid w:val="75E9781F"/>
    <w:rsid w:val="75EF188B"/>
    <w:rsid w:val="76056664"/>
    <w:rsid w:val="76067BFC"/>
    <w:rsid w:val="760979C3"/>
    <w:rsid w:val="76104750"/>
    <w:rsid w:val="76175073"/>
    <w:rsid w:val="761B4456"/>
    <w:rsid w:val="76237DDF"/>
    <w:rsid w:val="762B0E3B"/>
    <w:rsid w:val="76331051"/>
    <w:rsid w:val="76350BCF"/>
    <w:rsid w:val="7639125F"/>
    <w:rsid w:val="765441A7"/>
    <w:rsid w:val="76584B61"/>
    <w:rsid w:val="7658506B"/>
    <w:rsid w:val="765F3D49"/>
    <w:rsid w:val="766909B1"/>
    <w:rsid w:val="766B2FCF"/>
    <w:rsid w:val="76795ED7"/>
    <w:rsid w:val="76814004"/>
    <w:rsid w:val="76876BEF"/>
    <w:rsid w:val="769B7A05"/>
    <w:rsid w:val="769C7476"/>
    <w:rsid w:val="769E370F"/>
    <w:rsid w:val="769F501E"/>
    <w:rsid w:val="76C23810"/>
    <w:rsid w:val="76D35A58"/>
    <w:rsid w:val="76F121B4"/>
    <w:rsid w:val="770527B9"/>
    <w:rsid w:val="770565A3"/>
    <w:rsid w:val="77101B3D"/>
    <w:rsid w:val="771713D5"/>
    <w:rsid w:val="77177F98"/>
    <w:rsid w:val="77187527"/>
    <w:rsid w:val="771A0654"/>
    <w:rsid w:val="771D3FBB"/>
    <w:rsid w:val="77252E23"/>
    <w:rsid w:val="772716A0"/>
    <w:rsid w:val="772B48D4"/>
    <w:rsid w:val="773C0F39"/>
    <w:rsid w:val="773C7899"/>
    <w:rsid w:val="775765BC"/>
    <w:rsid w:val="775C53AB"/>
    <w:rsid w:val="776122BB"/>
    <w:rsid w:val="777D227E"/>
    <w:rsid w:val="77847775"/>
    <w:rsid w:val="779115B2"/>
    <w:rsid w:val="779B38FC"/>
    <w:rsid w:val="779C2B0A"/>
    <w:rsid w:val="77A8712A"/>
    <w:rsid w:val="77AA6954"/>
    <w:rsid w:val="77BA37C0"/>
    <w:rsid w:val="77C272AF"/>
    <w:rsid w:val="77DF5316"/>
    <w:rsid w:val="78196FE4"/>
    <w:rsid w:val="78255E60"/>
    <w:rsid w:val="783F56BF"/>
    <w:rsid w:val="784E0A78"/>
    <w:rsid w:val="784E363F"/>
    <w:rsid w:val="785E5555"/>
    <w:rsid w:val="78672968"/>
    <w:rsid w:val="786A2A51"/>
    <w:rsid w:val="787D3081"/>
    <w:rsid w:val="789210CC"/>
    <w:rsid w:val="7897568B"/>
    <w:rsid w:val="789B5FF4"/>
    <w:rsid w:val="78A73268"/>
    <w:rsid w:val="78A77ECD"/>
    <w:rsid w:val="78AE4CBC"/>
    <w:rsid w:val="78BD49A5"/>
    <w:rsid w:val="78C33F36"/>
    <w:rsid w:val="78C93733"/>
    <w:rsid w:val="78CB3266"/>
    <w:rsid w:val="78D423C7"/>
    <w:rsid w:val="78D54BB8"/>
    <w:rsid w:val="78E27FE7"/>
    <w:rsid w:val="78E816DB"/>
    <w:rsid w:val="78E975B9"/>
    <w:rsid w:val="78F158BC"/>
    <w:rsid w:val="78F3139A"/>
    <w:rsid w:val="78F64746"/>
    <w:rsid w:val="78FC4948"/>
    <w:rsid w:val="790163BE"/>
    <w:rsid w:val="79135B52"/>
    <w:rsid w:val="79212B2B"/>
    <w:rsid w:val="79277CDF"/>
    <w:rsid w:val="79335B1A"/>
    <w:rsid w:val="79340D64"/>
    <w:rsid w:val="79417E4E"/>
    <w:rsid w:val="794334E2"/>
    <w:rsid w:val="794C2F75"/>
    <w:rsid w:val="79500C54"/>
    <w:rsid w:val="7951031C"/>
    <w:rsid w:val="79922C3B"/>
    <w:rsid w:val="79A35831"/>
    <w:rsid w:val="79B1590A"/>
    <w:rsid w:val="79B51117"/>
    <w:rsid w:val="79B62D1C"/>
    <w:rsid w:val="79BB1CC7"/>
    <w:rsid w:val="79CA5D54"/>
    <w:rsid w:val="79D219E1"/>
    <w:rsid w:val="79DB25EB"/>
    <w:rsid w:val="79E51A4C"/>
    <w:rsid w:val="79F74661"/>
    <w:rsid w:val="7A253FB4"/>
    <w:rsid w:val="7A3177C9"/>
    <w:rsid w:val="7A34570C"/>
    <w:rsid w:val="7A3D18A4"/>
    <w:rsid w:val="7A402C09"/>
    <w:rsid w:val="7A4332DE"/>
    <w:rsid w:val="7A493AC6"/>
    <w:rsid w:val="7A4E5EE6"/>
    <w:rsid w:val="7A4F62A0"/>
    <w:rsid w:val="7A5F4995"/>
    <w:rsid w:val="7A6664FF"/>
    <w:rsid w:val="7A7008AC"/>
    <w:rsid w:val="7A71463D"/>
    <w:rsid w:val="7A7D1073"/>
    <w:rsid w:val="7A8B35B7"/>
    <w:rsid w:val="7A8B7DF6"/>
    <w:rsid w:val="7A8D6E3A"/>
    <w:rsid w:val="7A900E00"/>
    <w:rsid w:val="7AA63BF6"/>
    <w:rsid w:val="7AA83585"/>
    <w:rsid w:val="7AC5716D"/>
    <w:rsid w:val="7ADE7AAF"/>
    <w:rsid w:val="7AEF647D"/>
    <w:rsid w:val="7AF00C1C"/>
    <w:rsid w:val="7AF11F0F"/>
    <w:rsid w:val="7AF7328D"/>
    <w:rsid w:val="7AFB56D0"/>
    <w:rsid w:val="7B060634"/>
    <w:rsid w:val="7B5C1478"/>
    <w:rsid w:val="7B627C37"/>
    <w:rsid w:val="7B635782"/>
    <w:rsid w:val="7B711321"/>
    <w:rsid w:val="7B724112"/>
    <w:rsid w:val="7B940C5A"/>
    <w:rsid w:val="7B9966DE"/>
    <w:rsid w:val="7BAC37D1"/>
    <w:rsid w:val="7BAD7CE1"/>
    <w:rsid w:val="7BB85029"/>
    <w:rsid w:val="7BC41AFE"/>
    <w:rsid w:val="7BD00EB5"/>
    <w:rsid w:val="7BDD7846"/>
    <w:rsid w:val="7BEA70B7"/>
    <w:rsid w:val="7BF07B2F"/>
    <w:rsid w:val="7C0247AB"/>
    <w:rsid w:val="7C0923E3"/>
    <w:rsid w:val="7C0E773F"/>
    <w:rsid w:val="7C17146F"/>
    <w:rsid w:val="7C171B32"/>
    <w:rsid w:val="7C19012D"/>
    <w:rsid w:val="7C1916AE"/>
    <w:rsid w:val="7C2472E4"/>
    <w:rsid w:val="7C2E7313"/>
    <w:rsid w:val="7C3125A8"/>
    <w:rsid w:val="7C395FE2"/>
    <w:rsid w:val="7C3961A5"/>
    <w:rsid w:val="7C4F19D2"/>
    <w:rsid w:val="7C533A68"/>
    <w:rsid w:val="7C560F24"/>
    <w:rsid w:val="7C56268D"/>
    <w:rsid w:val="7C5B469D"/>
    <w:rsid w:val="7C5E3D28"/>
    <w:rsid w:val="7C7530A8"/>
    <w:rsid w:val="7C78396A"/>
    <w:rsid w:val="7C7A5449"/>
    <w:rsid w:val="7C7D5E7F"/>
    <w:rsid w:val="7C7E38BB"/>
    <w:rsid w:val="7C8366D3"/>
    <w:rsid w:val="7C8575D0"/>
    <w:rsid w:val="7C857D08"/>
    <w:rsid w:val="7C895F84"/>
    <w:rsid w:val="7C897754"/>
    <w:rsid w:val="7C8F2D58"/>
    <w:rsid w:val="7C9D740D"/>
    <w:rsid w:val="7CC3646D"/>
    <w:rsid w:val="7CD5680E"/>
    <w:rsid w:val="7CE0163D"/>
    <w:rsid w:val="7CE748DD"/>
    <w:rsid w:val="7CF259A7"/>
    <w:rsid w:val="7CF801A0"/>
    <w:rsid w:val="7D036A3D"/>
    <w:rsid w:val="7D046886"/>
    <w:rsid w:val="7D146F2C"/>
    <w:rsid w:val="7D1C14C3"/>
    <w:rsid w:val="7D212D33"/>
    <w:rsid w:val="7D320D44"/>
    <w:rsid w:val="7D3C5B2E"/>
    <w:rsid w:val="7D566271"/>
    <w:rsid w:val="7D567009"/>
    <w:rsid w:val="7D583016"/>
    <w:rsid w:val="7D6464F3"/>
    <w:rsid w:val="7D6B696A"/>
    <w:rsid w:val="7D7E166E"/>
    <w:rsid w:val="7D7F015D"/>
    <w:rsid w:val="7D7F2E7D"/>
    <w:rsid w:val="7D865219"/>
    <w:rsid w:val="7D8C57C2"/>
    <w:rsid w:val="7DB97384"/>
    <w:rsid w:val="7DBE60C2"/>
    <w:rsid w:val="7DC8484F"/>
    <w:rsid w:val="7DD757ED"/>
    <w:rsid w:val="7DDA0D13"/>
    <w:rsid w:val="7DEB7081"/>
    <w:rsid w:val="7DEF14CE"/>
    <w:rsid w:val="7DF04F00"/>
    <w:rsid w:val="7DF86B96"/>
    <w:rsid w:val="7DF960E1"/>
    <w:rsid w:val="7E0267DB"/>
    <w:rsid w:val="7E045D9C"/>
    <w:rsid w:val="7E0639E3"/>
    <w:rsid w:val="7E3C551B"/>
    <w:rsid w:val="7E404F0B"/>
    <w:rsid w:val="7E460FCE"/>
    <w:rsid w:val="7E561324"/>
    <w:rsid w:val="7E576259"/>
    <w:rsid w:val="7E631633"/>
    <w:rsid w:val="7E6737F1"/>
    <w:rsid w:val="7E6B3CD3"/>
    <w:rsid w:val="7E6F196F"/>
    <w:rsid w:val="7E740997"/>
    <w:rsid w:val="7E837464"/>
    <w:rsid w:val="7E9466A4"/>
    <w:rsid w:val="7E946FFC"/>
    <w:rsid w:val="7EAD286C"/>
    <w:rsid w:val="7EC6474E"/>
    <w:rsid w:val="7EC7383D"/>
    <w:rsid w:val="7ECF29F2"/>
    <w:rsid w:val="7EDE1999"/>
    <w:rsid w:val="7EE05561"/>
    <w:rsid w:val="7EE43E49"/>
    <w:rsid w:val="7EEA4480"/>
    <w:rsid w:val="7EF332A1"/>
    <w:rsid w:val="7EF50FEC"/>
    <w:rsid w:val="7EFD3745"/>
    <w:rsid w:val="7EFD79DE"/>
    <w:rsid w:val="7F025394"/>
    <w:rsid w:val="7F0A29E4"/>
    <w:rsid w:val="7F0C0033"/>
    <w:rsid w:val="7F1E48D0"/>
    <w:rsid w:val="7F283838"/>
    <w:rsid w:val="7F362665"/>
    <w:rsid w:val="7F383991"/>
    <w:rsid w:val="7F4A1F7E"/>
    <w:rsid w:val="7F5517B9"/>
    <w:rsid w:val="7F582C1B"/>
    <w:rsid w:val="7F614501"/>
    <w:rsid w:val="7F6D1F68"/>
    <w:rsid w:val="7F6D400C"/>
    <w:rsid w:val="7F702F09"/>
    <w:rsid w:val="7F784D68"/>
    <w:rsid w:val="7F7C4151"/>
    <w:rsid w:val="7F7C5A87"/>
    <w:rsid w:val="7F8B309A"/>
    <w:rsid w:val="7F8D3A7A"/>
    <w:rsid w:val="7F8E77FE"/>
    <w:rsid w:val="7FAA6F64"/>
    <w:rsid w:val="7FB334FE"/>
    <w:rsid w:val="7FB46033"/>
    <w:rsid w:val="7FB92337"/>
    <w:rsid w:val="7FC03284"/>
    <w:rsid w:val="7FC03B96"/>
    <w:rsid w:val="7FC71426"/>
    <w:rsid w:val="7FCA5DEA"/>
    <w:rsid w:val="7FED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0"/>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1"/>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2"/>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3"/>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4"/>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5"/>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6"/>
    <w:semiHidden/>
    <w:unhideWhenUsed/>
    <w:qFormat/>
    <w:uiPriority w:val="9"/>
    <w:pPr>
      <w:keepNext/>
      <w:keepLines/>
      <w:spacing w:before="120" w:after="0"/>
      <w:outlineLvl w:val="6"/>
    </w:pPr>
    <w:rPr>
      <w:i/>
      <w:iCs/>
    </w:rPr>
  </w:style>
  <w:style w:type="paragraph" w:styleId="9">
    <w:name w:val="heading 8"/>
    <w:basedOn w:val="1"/>
    <w:next w:val="1"/>
    <w:link w:val="37"/>
    <w:semiHidden/>
    <w:unhideWhenUsed/>
    <w:qFormat/>
    <w:uiPriority w:val="9"/>
    <w:pPr>
      <w:keepNext/>
      <w:keepLines/>
      <w:spacing w:before="120" w:after="0"/>
      <w:outlineLvl w:val="7"/>
    </w:pPr>
    <w:rPr>
      <w:b/>
      <w:bCs/>
    </w:rPr>
  </w:style>
  <w:style w:type="paragraph" w:styleId="10">
    <w:name w:val="heading 9"/>
    <w:basedOn w:val="1"/>
    <w:next w:val="1"/>
    <w:link w:val="38"/>
    <w:semiHidden/>
    <w:unhideWhenUsed/>
    <w:qFormat/>
    <w:uiPriority w:val="9"/>
    <w:pPr>
      <w:keepNext/>
      <w:keepLines/>
      <w:spacing w:before="120" w:after="0"/>
      <w:outlineLvl w:val="8"/>
    </w:pPr>
    <w:rPr>
      <w:i/>
      <w:i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60"/>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9"/>
    <w:unhideWhenUsed/>
    <w:qFormat/>
    <w:uiPriority w:val="0"/>
    <w:rPr>
      <w:rFonts w:hAnsi="Courier New" w:cs="Courier New" w:asciiTheme="minorEastAsia"/>
    </w:rPr>
  </w:style>
  <w:style w:type="paragraph" w:styleId="16">
    <w:name w:val="Balloon Text"/>
    <w:basedOn w:val="1"/>
    <w:link w:val="68"/>
    <w:semiHidden/>
    <w:unhideWhenUsed/>
    <w:qFormat/>
    <w:uiPriority w:val="99"/>
    <w:pPr>
      <w:spacing w:after="0" w:line="240" w:lineRule="auto"/>
    </w:pPr>
    <w:rPr>
      <w:sz w:val="18"/>
      <w:szCs w:val="18"/>
    </w:rPr>
  </w:style>
  <w:style w:type="paragraph" w:styleId="17">
    <w:name w:val="footer"/>
    <w:basedOn w:val="1"/>
    <w:link w:val="55"/>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spacing w:after="100" w:line="259" w:lineRule="auto"/>
      <w:jc w:val="left"/>
    </w:pPr>
    <w:rPr>
      <w:rFonts w:cs="Times New Roman"/>
    </w:rPr>
  </w:style>
  <w:style w:type="paragraph" w:styleId="20">
    <w:name w:val="Subtitle"/>
    <w:basedOn w:val="1"/>
    <w:next w:val="1"/>
    <w:link w:val="40"/>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7"/>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next w:val="1"/>
    <w:unhideWhenUsed/>
    <w:qFormat/>
    <w:uiPriority w:val="39"/>
    <w:pPr>
      <w:spacing w:after="100" w:line="259" w:lineRule="auto"/>
      <w:ind w:left="220"/>
      <w:jc w:val="left"/>
    </w:pPr>
    <w:rPr>
      <w:rFonts w:cs="Times New Roman"/>
    </w:rPr>
  </w:style>
  <w:style w:type="paragraph" w:styleId="23">
    <w:name w:val="Title"/>
    <w:basedOn w:val="1"/>
    <w:next w:val="1"/>
    <w:link w:val="39"/>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paragraph" w:styleId="24">
    <w:name w:val="Body Text First Indent"/>
    <w:basedOn w:val="13"/>
    <w:semiHidden/>
    <w:unhideWhenUsed/>
    <w:qFormat/>
    <w:uiPriority w:val="99"/>
    <w:pPr>
      <w:ind w:firstLine="420" w:firstLineChars="100"/>
    </w:p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color w:val="auto"/>
    </w:rPr>
  </w:style>
  <w:style w:type="character" w:styleId="29">
    <w:name w:val="Emphasis"/>
    <w:basedOn w:val="27"/>
    <w:qFormat/>
    <w:uiPriority w:val="20"/>
    <w:rPr>
      <w:i/>
      <w:iCs/>
      <w:color w:val="auto"/>
    </w:rPr>
  </w:style>
  <w:style w:type="character" w:customStyle="1" w:styleId="30">
    <w:name w:val="标题 1 Char"/>
    <w:basedOn w:val="27"/>
    <w:link w:val="2"/>
    <w:qFormat/>
    <w:uiPriority w:val="9"/>
    <w:rPr>
      <w:rFonts w:asciiTheme="majorHAnsi" w:hAnsiTheme="majorHAnsi" w:eastAsiaTheme="majorEastAsia" w:cstheme="majorBidi"/>
      <w:b/>
      <w:bCs/>
      <w:caps/>
      <w:spacing w:val="4"/>
      <w:sz w:val="28"/>
      <w:szCs w:val="28"/>
    </w:rPr>
  </w:style>
  <w:style w:type="character" w:customStyle="1" w:styleId="31">
    <w:name w:val="标题 2 Char"/>
    <w:basedOn w:val="27"/>
    <w:link w:val="3"/>
    <w:semiHidden/>
    <w:qFormat/>
    <w:uiPriority w:val="9"/>
    <w:rPr>
      <w:rFonts w:asciiTheme="majorHAnsi" w:hAnsiTheme="majorHAnsi" w:eastAsiaTheme="majorEastAsia" w:cstheme="majorBidi"/>
      <w:b/>
      <w:bCs/>
      <w:sz w:val="28"/>
      <w:szCs w:val="28"/>
    </w:rPr>
  </w:style>
  <w:style w:type="character" w:customStyle="1" w:styleId="32">
    <w:name w:val="标题 3 Char"/>
    <w:basedOn w:val="27"/>
    <w:link w:val="4"/>
    <w:semiHidden/>
    <w:qFormat/>
    <w:uiPriority w:val="9"/>
    <w:rPr>
      <w:rFonts w:asciiTheme="majorHAnsi" w:hAnsiTheme="majorHAnsi" w:eastAsiaTheme="majorEastAsia" w:cstheme="majorBidi"/>
      <w:spacing w:val="4"/>
      <w:sz w:val="24"/>
      <w:szCs w:val="24"/>
    </w:rPr>
  </w:style>
  <w:style w:type="character" w:customStyle="1" w:styleId="33">
    <w:name w:val="标题 4 Char"/>
    <w:basedOn w:val="27"/>
    <w:link w:val="5"/>
    <w:semiHidden/>
    <w:qFormat/>
    <w:uiPriority w:val="9"/>
    <w:rPr>
      <w:rFonts w:asciiTheme="majorHAnsi" w:hAnsiTheme="majorHAnsi" w:eastAsiaTheme="majorEastAsia" w:cstheme="majorBidi"/>
      <w:i/>
      <w:iCs/>
      <w:sz w:val="24"/>
      <w:szCs w:val="24"/>
    </w:rPr>
  </w:style>
  <w:style w:type="character" w:customStyle="1" w:styleId="34">
    <w:name w:val="标题 5 Char"/>
    <w:basedOn w:val="27"/>
    <w:link w:val="6"/>
    <w:semiHidden/>
    <w:qFormat/>
    <w:uiPriority w:val="9"/>
    <w:rPr>
      <w:rFonts w:asciiTheme="majorHAnsi" w:hAnsiTheme="majorHAnsi" w:eastAsiaTheme="majorEastAsia" w:cstheme="majorBidi"/>
      <w:b/>
      <w:bCs/>
    </w:rPr>
  </w:style>
  <w:style w:type="character" w:customStyle="1" w:styleId="35">
    <w:name w:val="标题 6 Char"/>
    <w:basedOn w:val="27"/>
    <w:link w:val="7"/>
    <w:semiHidden/>
    <w:qFormat/>
    <w:uiPriority w:val="9"/>
    <w:rPr>
      <w:rFonts w:asciiTheme="majorHAnsi" w:hAnsiTheme="majorHAnsi" w:eastAsiaTheme="majorEastAsia" w:cstheme="majorBidi"/>
      <w:b/>
      <w:bCs/>
      <w:i/>
      <w:iCs/>
    </w:rPr>
  </w:style>
  <w:style w:type="character" w:customStyle="1" w:styleId="36">
    <w:name w:val="标题 7 Char"/>
    <w:basedOn w:val="27"/>
    <w:link w:val="8"/>
    <w:semiHidden/>
    <w:qFormat/>
    <w:uiPriority w:val="9"/>
    <w:rPr>
      <w:i/>
      <w:iCs/>
    </w:rPr>
  </w:style>
  <w:style w:type="character" w:customStyle="1" w:styleId="37">
    <w:name w:val="标题 8 Char"/>
    <w:basedOn w:val="27"/>
    <w:link w:val="9"/>
    <w:semiHidden/>
    <w:qFormat/>
    <w:uiPriority w:val="9"/>
    <w:rPr>
      <w:b/>
      <w:bCs/>
    </w:rPr>
  </w:style>
  <w:style w:type="character" w:customStyle="1" w:styleId="38">
    <w:name w:val="标题 9 Char"/>
    <w:basedOn w:val="27"/>
    <w:link w:val="10"/>
    <w:semiHidden/>
    <w:qFormat/>
    <w:uiPriority w:val="9"/>
    <w:rPr>
      <w:i/>
      <w:iCs/>
    </w:rPr>
  </w:style>
  <w:style w:type="character" w:customStyle="1" w:styleId="39">
    <w:name w:val="标题 Char"/>
    <w:basedOn w:val="27"/>
    <w:link w:val="23"/>
    <w:qFormat/>
    <w:uiPriority w:val="10"/>
    <w:rPr>
      <w:rFonts w:asciiTheme="majorHAnsi" w:hAnsiTheme="majorHAnsi" w:eastAsiaTheme="majorEastAsia" w:cstheme="majorBidi"/>
      <w:b/>
      <w:bCs/>
      <w:spacing w:val="-7"/>
      <w:sz w:val="48"/>
      <w:szCs w:val="48"/>
    </w:rPr>
  </w:style>
  <w:style w:type="character" w:customStyle="1" w:styleId="40">
    <w:name w:val="副标题 Char"/>
    <w:basedOn w:val="27"/>
    <w:link w:val="20"/>
    <w:qFormat/>
    <w:uiPriority w:val="11"/>
    <w:rPr>
      <w:rFonts w:asciiTheme="majorHAnsi" w:hAnsiTheme="majorHAnsi" w:eastAsiaTheme="majorEastAsia" w:cstheme="majorBidi"/>
      <w:sz w:val="24"/>
      <w:szCs w:val="24"/>
    </w:rPr>
  </w:style>
  <w:style w:type="paragraph" w:styleId="41">
    <w:name w:val="No Spacing"/>
    <w:link w:val="52"/>
    <w:qFormat/>
    <w:uiPriority w:val="1"/>
    <w:pPr>
      <w:jc w:val="both"/>
    </w:pPr>
    <w:rPr>
      <w:rFonts w:asciiTheme="minorHAnsi" w:hAnsiTheme="minorHAnsi" w:eastAsiaTheme="minorEastAsia" w:cstheme="minorBidi"/>
      <w:sz w:val="22"/>
      <w:szCs w:val="22"/>
      <w:lang w:val="en-US" w:eastAsia="zh-CN" w:bidi="ar-SA"/>
    </w:rPr>
  </w:style>
  <w:style w:type="paragraph" w:styleId="42">
    <w:name w:val="Quote"/>
    <w:basedOn w:val="1"/>
    <w:next w:val="1"/>
    <w:link w:val="43"/>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3">
    <w:name w:val="引用 Char"/>
    <w:basedOn w:val="27"/>
    <w:link w:val="42"/>
    <w:qFormat/>
    <w:uiPriority w:val="29"/>
    <w:rPr>
      <w:rFonts w:asciiTheme="majorHAnsi" w:hAnsiTheme="majorHAnsi" w:eastAsiaTheme="majorEastAsia" w:cstheme="majorBidi"/>
      <w:i/>
      <w:iCs/>
      <w:sz w:val="24"/>
      <w:szCs w:val="24"/>
    </w:rPr>
  </w:style>
  <w:style w:type="paragraph" w:styleId="44">
    <w:name w:val="Intense Quote"/>
    <w:basedOn w:val="1"/>
    <w:next w:val="1"/>
    <w:link w:val="45"/>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5">
    <w:name w:val="明显引用 Char"/>
    <w:basedOn w:val="27"/>
    <w:link w:val="44"/>
    <w:qFormat/>
    <w:uiPriority w:val="30"/>
    <w:rPr>
      <w:rFonts w:asciiTheme="majorHAnsi" w:hAnsiTheme="majorHAnsi" w:eastAsiaTheme="majorEastAsia" w:cstheme="majorBidi"/>
      <w:sz w:val="26"/>
      <w:szCs w:val="26"/>
    </w:rPr>
  </w:style>
  <w:style w:type="character" w:customStyle="1" w:styleId="46">
    <w:name w:val="不明显强调1"/>
    <w:basedOn w:val="27"/>
    <w:qFormat/>
    <w:uiPriority w:val="19"/>
    <w:rPr>
      <w:i/>
      <w:iCs/>
      <w:color w:val="auto"/>
    </w:rPr>
  </w:style>
  <w:style w:type="character" w:customStyle="1" w:styleId="47">
    <w:name w:val="明显强调1"/>
    <w:basedOn w:val="27"/>
    <w:qFormat/>
    <w:uiPriority w:val="21"/>
    <w:rPr>
      <w:b/>
      <w:bCs/>
      <w:i/>
      <w:iCs/>
      <w:color w:val="auto"/>
    </w:rPr>
  </w:style>
  <w:style w:type="character" w:customStyle="1" w:styleId="48">
    <w:name w:val="不明显参考1"/>
    <w:basedOn w:val="27"/>
    <w:qFormat/>
    <w:uiPriority w:val="31"/>
    <w:rPr>
      <w:smallCaps/>
      <w:color w:val="auto"/>
      <w:u w:val="single" w:color="7E7E7E" w:themeColor="text1" w:themeTint="80"/>
    </w:rPr>
  </w:style>
  <w:style w:type="character" w:customStyle="1" w:styleId="49">
    <w:name w:val="明显参考1"/>
    <w:basedOn w:val="27"/>
    <w:qFormat/>
    <w:uiPriority w:val="32"/>
    <w:rPr>
      <w:b/>
      <w:bCs/>
      <w:smallCaps/>
      <w:color w:val="auto"/>
      <w:u w:val="single"/>
    </w:rPr>
  </w:style>
  <w:style w:type="character" w:customStyle="1" w:styleId="50">
    <w:name w:val="书籍标题1"/>
    <w:basedOn w:val="27"/>
    <w:qFormat/>
    <w:uiPriority w:val="33"/>
    <w:rPr>
      <w:b/>
      <w:bCs/>
      <w:smallCaps/>
      <w:color w:val="auto"/>
    </w:rPr>
  </w:style>
  <w:style w:type="paragraph" w:customStyle="1" w:styleId="51">
    <w:name w:val="TOC 标题1"/>
    <w:basedOn w:val="2"/>
    <w:next w:val="1"/>
    <w:unhideWhenUsed/>
    <w:qFormat/>
    <w:uiPriority w:val="39"/>
    <w:pPr>
      <w:outlineLvl w:val="9"/>
    </w:pPr>
  </w:style>
  <w:style w:type="character" w:customStyle="1" w:styleId="52">
    <w:name w:val="无间隔 Char"/>
    <w:basedOn w:val="27"/>
    <w:link w:val="41"/>
    <w:qFormat/>
    <w:uiPriority w:val="1"/>
  </w:style>
  <w:style w:type="paragraph" w:customStyle="1" w:styleId="5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4">
    <w:name w:val="页眉 Char"/>
    <w:basedOn w:val="27"/>
    <w:link w:val="18"/>
    <w:qFormat/>
    <w:uiPriority w:val="99"/>
    <w:rPr>
      <w:sz w:val="18"/>
      <w:szCs w:val="18"/>
    </w:rPr>
  </w:style>
  <w:style w:type="character" w:customStyle="1" w:styleId="55">
    <w:name w:val="页脚 Char"/>
    <w:basedOn w:val="27"/>
    <w:link w:val="17"/>
    <w:qFormat/>
    <w:uiPriority w:val="99"/>
    <w:rPr>
      <w:sz w:val="18"/>
      <w:szCs w:val="18"/>
    </w:rPr>
  </w:style>
  <w:style w:type="paragraph" w:styleId="56">
    <w:name w:val="List Paragraph"/>
    <w:basedOn w:val="1"/>
    <w:qFormat/>
    <w:uiPriority w:val="34"/>
    <w:pPr>
      <w:ind w:firstLine="420" w:firstLineChars="200"/>
    </w:pPr>
  </w:style>
  <w:style w:type="character" w:customStyle="1" w:styleId="57">
    <w:name w:val="正文文本缩进 3 Char"/>
    <w:basedOn w:val="27"/>
    <w:link w:val="21"/>
    <w:qFormat/>
    <w:uiPriority w:val="0"/>
    <w:rPr>
      <w:rFonts w:ascii="Times New Roman" w:hAnsi="Times New Roman" w:eastAsia="宋体" w:cs="Times New Roman"/>
      <w:kern w:val="2"/>
      <w:sz w:val="16"/>
      <w:szCs w:val="16"/>
    </w:rPr>
  </w:style>
  <w:style w:type="paragraph" w:customStyle="1" w:styleId="58">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9">
    <w:name w:val="纯文本 Char1"/>
    <w:basedOn w:val="27"/>
    <w:link w:val="15"/>
    <w:semiHidden/>
    <w:qFormat/>
    <w:uiPriority w:val="99"/>
    <w:rPr>
      <w:rFonts w:hAnsi="Courier New" w:cs="Courier New" w:asciiTheme="minorEastAsia"/>
    </w:rPr>
  </w:style>
  <w:style w:type="character" w:customStyle="1" w:styleId="60">
    <w:name w:val="正文文本 Char"/>
    <w:basedOn w:val="27"/>
    <w:link w:val="13"/>
    <w:semiHidden/>
    <w:qFormat/>
    <w:uiPriority w:val="99"/>
  </w:style>
  <w:style w:type="character" w:customStyle="1" w:styleId="61">
    <w:name w:val="纯文本 Char"/>
    <w:qFormat/>
    <w:uiPriority w:val="0"/>
    <w:rPr>
      <w:rFonts w:ascii="宋体" w:hAnsi="Courier New" w:eastAsia="宋体"/>
      <w:kern w:val="2"/>
      <w:sz w:val="21"/>
      <w:lang w:val="en-US" w:eastAsia="zh-CN" w:bidi="ar-SA"/>
    </w:rPr>
  </w:style>
  <w:style w:type="character" w:customStyle="1" w:styleId="62">
    <w:name w:val="font31"/>
    <w:basedOn w:val="27"/>
    <w:qFormat/>
    <w:uiPriority w:val="0"/>
    <w:rPr>
      <w:rFonts w:hint="eastAsia" w:ascii="仿宋" w:hAnsi="仿宋" w:eastAsia="仿宋" w:cs="仿宋"/>
      <w:color w:val="000000"/>
      <w:sz w:val="22"/>
      <w:szCs w:val="22"/>
      <w:u w:val="none"/>
    </w:rPr>
  </w:style>
  <w:style w:type="character" w:customStyle="1" w:styleId="63">
    <w:name w:val="font71"/>
    <w:basedOn w:val="27"/>
    <w:qFormat/>
    <w:uiPriority w:val="0"/>
    <w:rPr>
      <w:rFonts w:hint="eastAsia" w:ascii="仿宋" w:hAnsi="仿宋" w:eastAsia="仿宋" w:cs="仿宋"/>
      <w:color w:val="FF0000"/>
      <w:sz w:val="22"/>
      <w:szCs w:val="22"/>
      <w:u w:val="none"/>
    </w:rPr>
  </w:style>
  <w:style w:type="character" w:customStyle="1" w:styleId="64">
    <w:name w:val="font41"/>
    <w:basedOn w:val="27"/>
    <w:qFormat/>
    <w:uiPriority w:val="0"/>
    <w:rPr>
      <w:rFonts w:hint="eastAsia" w:ascii="仿宋" w:hAnsi="仿宋" w:eastAsia="仿宋" w:cs="仿宋"/>
      <w:color w:val="000000"/>
      <w:sz w:val="20"/>
      <w:szCs w:val="20"/>
      <w:u w:val="none"/>
    </w:rPr>
  </w:style>
  <w:style w:type="character" w:customStyle="1" w:styleId="65">
    <w:name w:val="font61"/>
    <w:basedOn w:val="27"/>
    <w:qFormat/>
    <w:uiPriority w:val="0"/>
    <w:rPr>
      <w:rFonts w:hint="eastAsia" w:ascii="仿宋" w:hAnsi="仿宋" w:eastAsia="仿宋" w:cs="仿宋"/>
      <w:color w:val="FF0000"/>
      <w:sz w:val="20"/>
      <w:szCs w:val="20"/>
      <w:u w:val="none"/>
    </w:rPr>
  </w:style>
  <w:style w:type="character" w:customStyle="1" w:styleId="66">
    <w:name w:val="font51"/>
    <w:basedOn w:val="27"/>
    <w:qFormat/>
    <w:uiPriority w:val="0"/>
    <w:rPr>
      <w:rFonts w:hint="eastAsia" w:ascii="仿宋" w:hAnsi="仿宋" w:eastAsia="仿宋" w:cs="仿宋"/>
      <w:b/>
      <w:bCs/>
      <w:color w:val="FF0000"/>
      <w:sz w:val="22"/>
      <w:szCs w:val="22"/>
      <w:u w:val="none"/>
    </w:rPr>
  </w:style>
  <w:style w:type="character" w:customStyle="1" w:styleId="67">
    <w:name w:val="font01"/>
    <w:basedOn w:val="27"/>
    <w:qFormat/>
    <w:uiPriority w:val="0"/>
    <w:rPr>
      <w:rFonts w:hint="eastAsia" w:ascii="宋体" w:hAnsi="宋体" w:eastAsia="宋体" w:cs="宋体"/>
      <w:color w:val="000000"/>
      <w:sz w:val="20"/>
      <w:szCs w:val="20"/>
      <w:u w:val="none"/>
    </w:rPr>
  </w:style>
  <w:style w:type="character" w:customStyle="1" w:styleId="68">
    <w:name w:val="批注框文本 Char"/>
    <w:basedOn w:val="27"/>
    <w:link w:val="16"/>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2A2A1-72A2-41F2-B00C-701AFA2642D4}">
  <ds:schemaRefs/>
</ds:datastoreItem>
</file>

<file path=docProps/app.xml><?xml version="1.0" encoding="utf-8"?>
<Properties xmlns="http://schemas.openxmlformats.org/officeDocument/2006/extended-properties" xmlns:vt="http://schemas.openxmlformats.org/officeDocument/2006/docPropsVTypes">
  <Template>Normal</Template>
  <Pages>16</Pages>
  <Words>1789</Words>
  <Characters>10202</Characters>
  <Lines>85</Lines>
  <Paragraphs>23</Paragraphs>
  <TotalTime>6</TotalTime>
  <ScaleCrop>false</ScaleCrop>
  <LinksUpToDate>false</LinksUpToDate>
  <CharactersWithSpaces>11968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2021-07-28T19:18:00Z</dcterms:created>
  <dc:creator>树亮 门</dc:creator>
  <cp:lastModifiedBy>Jccaie</cp:lastModifiedBy>
  <dcterms:modified xsi:type="dcterms:W3CDTF">2021-07-30T05:51:25Z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C340CF7A9A864A328A89AD7EBF19E407</vt:lpwstr>
  </property>
</Properties>
</file>