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36"/>
          <w:szCs w:val="36"/>
        </w:rPr>
      </w:pPr>
      <w:r>
        <w:rPr>
          <w:rFonts w:hint="eastAsia" w:ascii="仿宋" w:hAnsi="仿宋" w:eastAsia="仿宋"/>
          <w:b/>
          <w:color w:val="auto"/>
          <w:sz w:val="36"/>
          <w:szCs w:val="36"/>
        </w:rPr>
        <w:t>关于</w:t>
      </w:r>
      <w:r>
        <w:rPr>
          <w:rFonts w:hint="eastAsia" w:ascii="仿宋" w:hAnsi="仿宋" w:eastAsia="仿宋"/>
          <w:b/>
          <w:color w:val="auto"/>
          <w:sz w:val="36"/>
          <w:szCs w:val="36"/>
          <w:lang w:val="en-US" w:eastAsia="zh-CN"/>
        </w:rPr>
        <w:t>肇庆校区录播教室设备采购项目（二次挂网）</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A-XJ2021-35</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0880485"/>
      <w:bookmarkStart w:id="2" w:name="_Toc169332792"/>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59692693"/>
      <w:bookmarkStart w:id="5" w:name="_Toc259520819"/>
      <w:bookmarkStart w:id="6" w:name="_Toc169332904"/>
      <w:bookmarkStart w:id="7" w:name="_Toc212526081"/>
      <w:bookmarkStart w:id="8" w:name="_Toc236021402"/>
      <w:bookmarkStart w:id="9" w:name="_Toc217891359"/>
      <w:bookmarkStart w:id="10" w:name="_Toc267060162"/>
      <w:bookmarkStart w:id="11" w:name="_Toc267059519"/>
      <w:bookmarkStart w:id="12" w:name="_Toc212454753"/>
      <w:bookmarkStart w:id="13" w:name="_Toc225669277"/>
      <w:bookmarkStart w:id="14" w:name="_Toc253066567"/>
      <w:bookmarkStart w:id="15" w:name="_Toc266868924"/>
      <w:bookmarkStart w:id="16" w:name="_Toc170798743"/>
      <w:bookmarkStart w:id="17" w:name="_Toc267060407"/>
      <w:bookmarkStart w:id="18" w:name="_Toc169332794"/>
      <w:bookmarkStart w:id="19" w:name="_Toc255974963"/>
      <w:bookmarkStart w:id="20" w:name="_Toc211937196"/>
      <w:bookmarkStart w:id="21" w:name="_Toc235438297"/>
      <w:bookmarkStart w:id="22" w:name="_Toc267059633"/>
      <w:bookmarkStart w:id="23" w:name="_Toc227058483"/>
      <w:bookmarkStart w:id="24" w:name="_Toc219800200"/>
      <w:bookmarkStart w:id="25" w:name="_Toc249325665"/>
      <w:bookmarkStart w:id="26" w:name="_Toc235437942"/>
      <w:bookmarkStart w:id="27" w:name="_Toc223146565"/>
      <w:bookmarkStart w:id="28" w:name="_Toc273178686"/>
      <w:bookmarkStart w:id="29" w:name="_Toc160880487"/>
      <w:bookmarkStart w:id="30" w:name="_Toc266870861"/>
      <w:bookmarkStart w:id="31" w:name="_Toc235438227"/>
      <w:bookmarkStart w:id="32" w:name="_Toc267059899"/>
      <w:bookmarkStart w:id="33" w:name="_Toc266870386"/>
      <w:bookmarkStart w:id="34" w:name="_Toc267060022"/>
      <w:bookmarkStart w:id="35" w:name="_Toc177985424"/>
      <w:bookmarkStart w:id="36" w:name="_Toc212456146"/>
      <w:bookmarkStart w:id="37" w:name="_Toc251586187"/>
      <w:bookmarkStart w:id="38" w:name="_Toc207014580"/>
      <w:bookmarkStart w:id="39" w:name="_Toc267059010"/>
      <w:bookmarkStart w:id="40" w:name="_Toc259692600"/>
      <w:bookmarkStart w:id="41" w:name="_Toc251613780"/>
      <w:bookmarkStart w:id="42" w:name="_Toc254790852"/>
      <w:bookmarkStart w:id="43" w:name="_Toc258401210"/>
      <w:bookmarkStart w:id="44" w:name="_Toc266868624"/>
      <w:bookmarkStart w:id="45" w:name="_Toc216241307"/>
      <w:bookmarkStart w:id="46" w:name="_Toc212530253"/>
      <w:bookmarkStart w:id="47" w:name="_Toc267059786"/>
      <w:bookmarkStart w:id="48" w:name="_Toc267059161"/>
      <w:r>
        <w:rPr>
          <w:rFonts w:hint="eastAsia" w:ascii="仿宋" w:hAnsi="仿宋" w:eastAsia="仿宋"/>
          <w:b/>
          <w:color w:val="auto"/>
          <w:sz w:val="36"/>
          <w:szCs w:val="36"/>
          <w:lang w:val="en-US" w:eastAsia="zh-CN"/>
        </w:rPr>
        <w:t>录播教室设备采购项目</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肇庆校区录播教室设备采购项目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A-XJ2021-35</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肇庆校区录播教室设备采购项目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w:t>
      </w:r>
      <w:r>
        <w:rPr>
          <w:rFonts w:hint="eastAsia" w:ascii="仿宋" w:hAnsi="仿宋" w:eastAsia="仿宋"/>
          <w:color w:val="auto"/>
          <w:sz w:val="28"/>
          <w:szCs w:val="28"/>
          <w:lang w:val="en-US" w:eastAsia="zh-CN"/>
        </w:rPr>
        <w:t>录播室</w:t>
      </w:r>
      <w:r>
        <w:rPr>
          <w:rFonts w:hint="eastAsia" w:ascii="仿宋" w:hAnsi="仿宋" w:eastAsia="仿宋"/>
          <w:color w:val="auto"/>
          <w:sz w:val="28"/>
          <w:szCs w:val="28"/>
        </w:rPr>
        <w:t>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2021年07月</w:t>
      </w:r>
      <w:r>
        <w:rPr>
          <w:rFonts w:hint="eastAsia" w:ascii="仿宋" w:hAnsi="仿宋" w:eastAsia="仿宋"/>
          <w:b/>
          <w:bCs/>
          <w:color w:val="auto"/>
          <w:sz w:val="28"/>
          <w:szCs w:val="28"/>
          <w:u w:val="single"/>
          <w:shd w:val="clear" w:color="auto" w:fill="FFFFFF"/>
          <w:lang w:val="en-US" w:eastAsia="zh-CN"/>
        </w:rPr>
        <w:t>19</w:t>
      </w:r>
      <w:r>
        <w:rPr>
          <w:rFonts w:hint="eastAsia" w:ascii="仿宋" w:hAnsi="仿宋" w:eastAsia="仿宋"/>
          <w:b/>
          <w:bCs/>
          <w:color w:val="auto"/>
          <w:sz w:val="28"/>
          <w:szCs w:val="28"/>
          <w:u w:val="single"/>
          <w:shd w:val="clear" w:color="auto" w:fill="FFFFFF"/>
        </w:rPr>
        <w:t>日上午11:00前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w:t>
      </w:r>
      <w:bookmarkStart w:id="327" w:name="_GoBack"/>
      <w:bookmarkEnd w:id="327"/>
      <w:r>
        <w:rPr>
          <w:rFonts w:hint="eastAsia" w:ascii="仿宋" w:hAnsi="仿宋" w:eastAsia="仿宋"/>
          <w:color w:val="auto"/>
          <w:sz w:val="28"/>
          <w:szCs w:val="28"/>
        </w:rPr>
        <w:t>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陈彩捷</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13678904923</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02" w:type="dxa"/>
        <w:tblInd w:w="-5" w:type="dxa"/>
        <w:tblLayout w:type="fixed"/>
        <w:tblCellMar>
          <w:top w:w="0" w:type="dxa"/>
          <w:left w:w="108" w:type="dxa"/>
          <w:bottom w:w="0" w:type="dxa"/>
          <w:right w:w="108" w:type="dxa"/>
        </w:tblCellMar>
      </w:tblPr>
      <w:tblGrid>
        <w:gridCol w:w="625"/>
        <w:gridCol w:w="1124"/>
        <w:gridCol w:w="4265"/>
        <w:gridCol w:w="666"/>
        <w:gridCol w:w="722"/>
        <w:gridCol w:w="694"/>
        <w:gridCol w:w="628"/>
        <w:gridCol w:w="678"/>
      </w:tblGrid>
      <w:tr>
        <w:tblPrEx>
          <w:tblCellMar>
            <w:top w:w="0" w:type="dxa"/>
            <w:left w:w="108" w:type="dxa"/>
            <w:bottom w:w="0" w:type="dxa"/>
            <w:right w:w="108" w:type="dxa"/>
          </w:tblCellMar>
        </w:tblPrEx>
        <w:trPr>
          <w:trHeight w:val="492" w:hRule="atLeast"/>
        </w:trPr>
        <w:tc>
          <w:tcPr>
            <w:tcW w:w="6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b/>
                <w:bCs/>
                <w:color w:val="000000"/>
                <w:sz w:val="20"/>
                <w:szCs w:val="20"/>
              </w:rPr>
            </w:pPr>
            <w:r>
              <w:rPr>
                <w:rFonts w:hint="eastAsia" w:ascii="仿宋" w:hAnsi="仿宋" w:eastAsia="仿宋" w:cs="仿宋"/>
                <w:b/>
                <w:bCs/>
                <w:color w:val="000000"/>
                <w:sz w:val="20"/>
                <w:szCs w:val="20"/>
              </w:rPr>
              <w:t>序号</w:t>
            </w:r>
          </w:p>
        </w:tc>
        <w:tc>
          <w:tcPr>
            <w:tcW w:w="11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b/>
                <w:bCs/>
                <w:color w:val="000000"/>
                <w:sz w:val="20"/>
                <w:szCs w:val="20"/>
              </w:rPr>
            </w:pPr>
            <w:r>
              <w:rPr>
                <w:rFonts w:hint="eastAsia" w:ascii="仿宋" w:hAnsi="仿宋" w:eastAsia="仿宋" w:cs="仿宋"/>
                <w:b/>
                <w:bCs/>
                <w:color w:val="000000"/>
                <w:sz w:val="20"/>
                <w:szCs w:val="20"/>
              </w:rPr>
              <w:t>设备名称</w:t>
            </w:r>
          </w:p>
        </w:tc>
        <w:tc>
          <w:tcPr>
            <w:tcW w:w="426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b/>
                <w:bCs/>
                <w:color w:val="000000"/>
                <w:sz w:val="20"/>
                <w:szCs w:val="20"/>
              </w:rPr>
            </w:pPr>
            <w:r>
              <w:rPr>
                <w:rFonts w:hint="eastAsia" w:ascii="仿宋" w:hAnsi="仿宋" w:eastAsia="仿宋" w:cs="仿宋"/>
                <w:b/>
                <w:bCs/>
                <w:color w:val="000000" w:themeColor="text1"/>
                <w:sz w:val="20"/>
                <w:szCs w:val="20"/>
                <w14:textFill>
                  <w14:solidFill>
                    <w14:schemeClr w14:val="tx1"/>
                  </w14:solidFill>
                </w14:textFill>
              </w:rPr>
              <w:t>规格型号（技术参数）</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b/>
                <w:bCs/>
                <w:color w:val="000000"/>
                <w:sz w:val="20"/>
                <w:szCs w:val="20"/>
              </w:rPr>
            </w:pPr>
            <w:r>
              <w:rPr>
                <w:rFonts w:hint="eastAsia" w:ascii="仿宋" w:hAnsi="仿宋" w:eastAsia="仿宋" w:cs="仿宋"/>
                <w:b/>
                <w:bCs/>
                <w:color w:val="000000"/>
                <w:sz w:val="20"/>
                <w:szCs w:val="20"/>
              </w:rPr>
              <w:t>单位</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b/>
                <w:bCs/>
                <w:color w:val="000000"/>
                <w:sz w:val="20"/>
                <w:szCs w:val="20"/>
              </w:rPr>
            </w:pPr>
            <w:r>
              <w:rPr>
                <w:rFonts w:hint="eastAsia" w:ascii="仿宋" w:hAnsi="仿宋" w:eastAsia="仿宋" w:cs="仿宋"/>
                <w:b/>
                <w:bCs/>
                <w:color w:val="000000"/>
                <w:sz w:val="20"/>
                <w:szCs w:val="20"/>
              </w:rPr>
              <w:t>数量</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b/>
                <w:bCs/>
                <w:color w:val="000000"/>
                <w:sz w:val="20"/>
                <w:szCs w:val="20"/>
              </w:rPr>
            </w:pPr>
            <w:r>
              <w:rPr>
                <w:rFonts w:hint="eastAsia" w:ascii="仿宋" w:hAnsi="仿宋" w:eastAsia="仿宋" w:cs="仿宋"/>
                <w:b/>
                <w:bCs/>
                <w:color w:val="000000"/>
                <w:sz w:val="20"/>
                <w:szCs w:val="20"/>
              </w:rPr>
              <w:t>单价</w:t>
            </w: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b/>
                <w:bCs/>
                <w:color w:val="000000"/>
                <w:sz w:val="20"/>
                <w:szCs w:val="20"/>
              </w:rPr>
            </w:pPr>
            <w:r>
              <w:rPr>
                <w:rFonts w:hint="eastAsia" w:ascii="仿宋" w:hAnsi="仿宋" w:eastAsia="仿宋" w:cs="仿宋"/>
                <w:b/>
                <w:bCs/>
                <w:color w:val="000000"/>
                <w:sz w:val="20"/>
                <w:szCs w:val="20"/>
              </w:rPr>
              <w:t>金额</w:t>
            </w: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b/>
                <w:bCs/>
                <w:color w:val="000000"/>
                <w:sz w:val="20"/>
                <w:szCs w:val="20"/>
              </w:rPr>
            </w:pPr>
            <w:r>
              <w:rPr>
                <w:rFonts w:hint="eastAsia" w:ascii="仿宋" w:hAnsi="仿宋" w:eastAsia="仿宋" w:cs="仿宋"/>
                <w:b/>
                <w:bCs/>
                <w:color w:val="000000"/>
                <w:sz w:val="20"/>
                <w:szCs w:val="20"/>
              </w:rPr>
              <w:t>备注</w:t>
            </w:r>
          </w:p>
        </w:tc>
      </w:tr>
      <w:tr>
        <w:tblPrEx>
          <w:tblCellMar>
            <w:top w:w="0" w:type="dxa"/>
            <w:left w:w="108" w:type="dxa"/>
            <w:bottom w:w="0" w:type="dxa"/>
            <w:right w:w="108" w:type="dxa"/>
          </w:tblCellMar>
        </w:tblPrEx>
        <w:trPr>
          <w:trHeight w:val="1041"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1</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流式媒体在线管理软件</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1.软件架构：支持B/S架构设计，能够方便教师使用IE、360等主流浏览器通过网络直接访问录播主机进行导播和管理。</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2.录制控制：支持录制、暂停、停止等基本功能操作，实现全自动、手动两种录制模式，支持录制过程中实时切换录制模式。</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3.录制管理：支持高低码流同步录制，支持电影模式和资源模式录制，实现复合画面、每个摄像机画面及电脑课件画面的独立封装和点播。</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4.录制分辨率设置：支持自定义录制分辨率、帧率和码率，最高支持4K@30fps，码率支持512kbps到40Mbps可设。</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5.分段录制：支持分段录制技术，当录制的课程时间较长时，可按照用户设定的文件时长自动分割录制成多个视频文件，提供不分段、30分钟分段、60分钟分段三种方式可选。</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6.同步录制：支持USB接口插入U盘，实现本机和U盘同步录制功能，录制完毕后同时另存为一份录像文件到U盘中。</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7.摄像机控制：支持鼠标快速定位功能，通过鼠标点击快速居中画面区域，通过鼠标滚轮可以调节云台摄像机的焦距。每个云台摄像机应至少支持8个预置位设置与调用功能。</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8.面板管控：Console接口支持接入控制面板，对录播设备进行唤醒、录制管理。</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9.视频环出：2路HDMI信号同步输出，录课模式下实时环出录课画面，双流互动模式下双HDMI输出分别实时环出互动主、辅流画面。</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10.音频处理：内置音频处理功能，包括混音、EQ均衡、回声抑制、幻象供电等。</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11.跟踪功能：基于图像识别分析技术，结合定位分析装置实现课堂教师、学生行为的全自动跟踪功能。包括教师走动、授课特写、课件跟踪、学生起立等场景。课件电脑跟踪支持“鼠键触发检测”和“图像变化检测”两种自动跟踪方式，可自定义电脑信号呈现保留时间。</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12.跟踪屏蔽：支持设置跟踪屏蔽区域，如主动屏蔽掉教师观摩区、窗户窗帘、教室门口、大屏液晶电视等易干扰跟踪效果的地方，所屏蔽的地方系统将不对其进行图像分析跟踪运算，以避免这些地方干扰整体的跟踪效果。</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13.互动方式：提供“授课”和“会议”两种互动模式，其中“授课”模式贴近实际同步课堂教学场景，听课端观看的互动画面有主讲端控制。支持将主讲老师和课件信号双分屏或画中画模式共享给听课端观看。</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14.互动画质：录播主机双向互动过程中，在4Mbps带宽下可实现1080P@30FPS画质，支持网络自适应功能。</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15.互动网络管理：支持网络检测功能，测试录播设备与互动服务器之前的网络通讯情况，包括上下行丢包率数据、带宽数据。互动画面中可叠加显示各互动点的视频码流和丢包率。</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16.双流互动功能：互动时听课端设备支持将教学场景及教学课件画面以两路独立HDMI信号分别同时环出显示到两个显示设备中。</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17.直播管理：支持自定义直播分辨率和码率，以适应不同网络环境下保持直播的流畅性。支持RTMP和RTSP视频传输协议，支持≥3路RTMP同步推流，可从接入的摄像机信号和电脑信号中选择自定义每路推流信号源，实现多流直播。</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18.录像管理：支持对录制视频按标题、主持人、时间、时长进行排序，便于快速检索所需视频。支持对录像文件进行回放和下载。</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19.视频修复：支持硬盘格式化功能，支持对设备异常断电、宕机造成的损坏视频文件进行修复。</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套</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left"/>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left"/>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870"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流式媒体在线导播软件</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1.导播方式：提供本地导播和网页导播多种导播方式，支持外接导播摇杆控制台进行导播操作。</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2.导播功能：支持布局切换、转场特效、字幕、LOGO、摄像机控制等基本导播功能。</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3.跟踪方式：支持手动、全自动、半自动三种跟踪导播方式，可“一键式”开启全自动图像跟踪拍摄录制。</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4.信号切换：支持摄像机和HDMI信号的实时预览，支持点击切换录制画面。</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5.鼠标定位：支持鼠标快速定位功能，通过鼠标点击快速居中画面区域，通过鼠标滚轮可以调节云台摄像机的焦距。</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6.云台预置位：支持云台摄像机预置位的预设和调用功能，每个云台摄像机至少支持8个以上预置位功能。</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7.布局设置：支持自定义布局设置，支持多个视频图层自由叠加组合，自定义布局时可随意拖拉画面窗口。</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8.字幕台标：支持字幕和字幕背景的透明度设置功能，支持字幕滚动和固定位置两种显示方式；支持上传台标，自定义台标位置。</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套</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635"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3</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高清摄像机管理软件</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1.摄像机管理软件采用B/S架构，支持通用浏览器直接访问进行管理。</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2.支持网络参数设置与修改，支持一键恢复默认参数。</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3.支持曝光模式设置功能，包括自动、手动。</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4.支持抗闪烁频率、动态范围、光圈、快门参数设置。</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5.支持自动白平衡设置功能，红、蓝增益可调。</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6.支持噪声抑制设置功能，支持2D、3D降噪。</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7.支持摄像机图像质量调节功能，包括亮度、对比度、色调、饱和度。</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8.支持摄像机控制功能，包括云台控制、预置位设置与调用、焦距调节等。</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套</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8</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88"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4</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老师定位分析软件</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 采用B/S架构设计，支持通用浏览器进行远程访问进行管理。</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2) 采用图像识别定位分析技术，智能识别教师教学行为，根据预设的跟踪分析逻辑触发跟踪信号，与录播主机进行跟踪数据对接；</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3) 支持多种机位跟踪模式切换功能，包括一机位、两机位、三机位、四机位和五机位等。</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4) 支持多个区域屏蔽功能，避免屏蔽区域内的干扰，提高系统识别效果；</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5) 支持检测区域设置，对指定区域进行跟踪分析，支持同时划分多个检测区域。</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6) 具有“模糊防抖”功能，避免人员小幅度活动时引起的摄像机画面抖动现象。</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套</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88"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5</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学生定位分析软件</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 采用B/S架构设计，支持通用浏览器进行远程访问进行管理。</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2) 采用图像识别定位分析技术，智能识别学生行为，根据预设的跟踪分析逻辑触发跟踪信号，与录播主机进行跟踪数据对接；</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3) 支持多种机位跟踪模式切换功能，包括一机位、两机位、三机位、四机位和五机位。</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4) 支持多个区域屏蔽功能，避免屏蔽区域内的干扰，提高系统识别效果；</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5) 支持检测区域设置，对指定区域进行跟踪分析，支持同时划分多个检测区域。</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6) 具有“模糊防抖”功能，避免人员小幅度活动时引起的摄像机画面抖动现象。</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套</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168"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6</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数字音频处理软件</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（1）采用C/S或B/S软件架构设计，支持对音频处理矩阵进行管理。</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（2）AGC自动增益控制:自动提升和压缩话筒音量，使之以恒定的电平输出。</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（3）AVC回声消除:全新的自适应式回声消除功能，无需人工调试。</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（4）AFC反馈啸叫消除:采用自适应处理的方式对现场扩声系统的啸叫进行有效的消除。</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（5）ANC自动噪声消除:自动噪声消除根据环境的声场变化自动进行噪声消除。</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套</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189"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7</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智慧黑板</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一．屏体硬件：</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 黑板采用平面结构设计，采用三段式结构方式，整体尺寸不低于4200*1100mm,整块黑板可支持无尘粉笔、水性笔等多种类型笔书写；</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 xml:space="preserve">2、液晶屏显示尺寸≧86英寸，采用A规屏；分辨率：3840*2160； </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3、黑板液晶屏显示部分采用屏幕全贴合技术</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4、前置面板需具有以下输入接口：≥1路标准非转接HDMI接口、≥2路双通道USB3.0接口、≥1路全功能通道（Type-C）接口, 可实现音视频、触控输入；</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5、整机后置≥2路HDMI输入接口、≥1路HDMI输出接口，≥1路USB输入接口（支持外接展台、U盘等设备在Windows和Android系统下均可使用）、≥1路RF输入接口、≥1路YPbPr分量输入接口、≥1路AV视频输入接口，≥1路USB触控接口，≥1路TYPE-B 3.0无线MIC接口，≥1路RJ45接口，以上接口不接受扩展坞方式；</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6、支持关机扩音功能，可在通电不开机状态下进行扩音；</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7、支持插接式高清摄像头；</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二．教学辅助系统：</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1、可实现教学资源分类，选定、全选、复制、粘贴、删除、一键发送及维码分享等功能；</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 xml:space="preserve">2、具有悬浮触控菜单，可通过两指快速调用到屏幕任意位置；悬浮触控菜单可进行自定义设置，实现一键切换电脑桌面、启动展台、自动点名、无线传屏、互动课堂、批注、擦除等功能； </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三．内置电脑： CPU采用Intel第8代酷睿I7处理器或以上；内存：≥16G DDR4；硬盘：≥256G SSD固态硬盘；接口：整机非外扩展具备6个USB接口（其中至少包含3路USB3.0接口）；具有独立非外扩展的视频输出接口：≥1路HDMI ；≥1路DP等；为便于设备维护，插拔电脑模块需具有一键还原和系统保护功能；随机预装配套交互教学软件；具备供电保护模块；</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四．教学软件应用</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一）.提供互动教学应用软件统一入口：可整合互动应用软件，集中管理，方便老师在各软件之间的切换和使用；支持免登录直接使用本地教学工具，支持账号、U盘和扫码登录；软件菜单功能按钮/图标配备明确中文标识，智能交互黑板/电子白板/白板一体机双侧软件快捷键具备一个自定义功能按键，可自定义常用软件功能如：荧光笔、幕布、时钟、截图、量角器、圆规、直尺、微课工具等；易用的文本编辑功能，支持文本输入并可快速设置字体、大小、颜色、粗体、斜体、下划线、删除线、上标、下标、项目符号等复杂文本的输入，可对文本的对齐、行间距、透明度等进行设置，方便用户编辑文字；</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二）课堂互动软件：支持通过触控的方式开启课件，要求支持常见课件文件格式，如Office，PDF、网页链接、图片、视频、Flash等；须支持多个课件展示与操作，已经打开的课件可以正常播放、批注、缩放、移动，并且彼此不相互影响，以上动作均要求支持鼠标及触控两种操作模式；对于打开的课件，支持常用的手势操作功能，包括左右滑屏翻页，上下滑动滚屏，双指缩放，单指移动等手势；能够保持Office文档的原有版式、内容、动画效果不变，绘笔批注能够跟随文档内容移动和缩放；支持在讲解PPT时具备索引预览及跳转功能；支持屏幕截屏录制功能；支持黑/白板板书，支持背景自定义，支持笔型自定义须支持无线投屏功能，可将移动终端设备信号实时投射至大屏显示，支持iOS、Android、Windows平台设备，要求支持不少于6路信号的同时投屏显示；</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 xml:space="preserve">白板 </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1.支持教师常用的粉笔、水溶性粉笔、液体粉笔书写，笔记线条清晰，干式板擦擦除粉笔和液体粉笔笔记不留痕迹； 4.面板材质具有耐折弯性，不会因板面弯折表面产生涂层脱落影响书写效果；</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2两侧黑板支持磁性材质教具吸附功能。</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块</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1</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90"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8</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智能交互平板</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1.整机外壳四边圆角。LED液晶平板：A规屏，显示尺寸≥86英寸，显示比例16:9，物理解析度：1920×1080。</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2.背光采用去蓝光技术。整机具备抗强光干扰性能，在400K LUX照度的光照下保证书写功能正常。</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3.前置中文标识输入接口，提供≥3路USB（电脑3.0/安卓2.0）接口。（可同时在Windows及Android系统下读取）平板正面前置1路HDMI高清接口（非转接方式，提供接口图片）和一路双通道展台USB输入接口。提供一路RF输入接口、一路分量输入接口、一路视频输入接口、一路HDMI输出接口</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4.只需一根网线， windows和Android双系统均可实现上网功能。</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5.安卓白板具备背景自定义、文件浏览功能，可实现文件分类，选定、全选、复制、粘贴、删除、一键发送和二维码分享功能。</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6整机须具备前置电脑还原按键。</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块</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54"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9</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录播主机</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1.整体设计：标准1U机架式外观设计，便于机架式安装。考虑设备稳定性，要求采用嵌入式ARM架构设计，Linux操作系统，高度集成多种功能应用，包括导播、录制、跟踪、直播、点播、互动等。</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2.视频接口：3G-SDI≥4、HDMI in≥3、HDMI out≥3，采集和输出分辨率支持3840*2160@30fps的4K标准。</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3.音频接口：XLR接口≥2、Line in≥2、Line out≥1、耳机监听接口≥1。</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4.网络接口：RJ-45≥1，支持1000/100Mbps自适应，支持IPv4、IPv6双协议栈，适应互联网通信发展需求。</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5.其他接口：Console≥2、USB≥2。</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6.存储容量：2TB 机械硬盘。</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7.电源管理：采用不高于DC36V安全电压供电，具有低功耗环保优势，采用无风扇散热设计，低噪音不影响正常授课。</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8.视频采集：支持3840*2160@30fps标准4K超高清摄像机信号接入进行画面采集和编码录制；</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9.视频传输：4K超高清摄像机采用SDI方式传输，保证视频传输质量，不接受网络传输方式。同时设备支持POC供电功能，并能够支持POC供电信号、高清摄像机4K视频信号、控制信号同传；为避免信号干扰，不接受多条不同接口线缆绞合成一条线缆铺设或者增加额外转换设备的方式。</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10.视频录制：支持电影模式与资源模式同步录制，录制分辨率支持1080P@30fps、720P@30fps，视频编码协议支持H.265、H.264，支持MP4视频封装格式。</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11.协议支持：支持HTTP、RTMP、RTSP视频传输协议，支持FTP文件传输协议，支持VISCA云台控制协议。</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12.双流互动：为便捷进行远程互动教学应用，支持BFCP和H.239双流互动协议。</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台</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153"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10</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4K摄像机</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1.视频输出接口：HDMI、SDI，同步输出4K图像</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2.传感器类型：CMOS，1/2.33英寸</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3.传感器像素：图像采集、输出分辨率支持3840*2160,满足4K分辨率要求；</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4.镜头焦距：12倍光学变焦，16倍数字变焦</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5.水平转动速度范围：1.0° ~ 94.2°/s，垂直转动速度范围：1.0° ~ 74.8°/s，水平视场角：72.0° ~ 6.7°，垂直视场角：43.2° ~ 3.7°</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6.支持水平、垂直翻转</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7.背光补偿：支持</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 xml:space="preserve">8.数字降噪：2D&amp;3D数字降噪 </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9.网络流传输协议：RTP、RTSP</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10.预置位数量：255</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11.网络接口：RJ45</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12.音频接口：Line In,3.5mm</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13.通讯接口：RS232、RS422</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14.USB接口：USB Type-A</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15.支持的协议类型：VISCA</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16.编码技术：视频H.265、H.264，音频AAC</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台</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8</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381"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11</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老师定位分析仪</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 扫描方式：逐行扫描</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2) 输出帧率：30fps</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 xml:space="preserve">3) 摄像元件：1/3 " </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4) 有效像素：1920（H）×1080（V）</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5) 最低照度：0.3Lux</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6) 通讯方式：RJ-45，支持POE供电</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个</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90"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12</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学生定位分析仪</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 扫描方式：逐行扫描</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2) 输出帧率：30fps</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 xml:space="preserve">3) 摄像元件：1/3 “ </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4) 有效像素：1920（H）×1080（V）</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5) 最低照度：0.3Lux</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6) 通讯方式：RJ-45，支持POE供电</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7) 智能识别学生行为，根据预设的跟踪分析逻辑触发跟踪信号，与录播主机进行跟踪数据对接。</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个</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90"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13</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数字音频处理器</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（1）音频输入/输出通道（MIC/LINE.：8路输入/4路输出，支持选择多种电平的音源输入，支持幻像供电功能。</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（2）矩阵功能:输入多路信号并将其按用户设定比例进行混合，分配到多个输出通道中。</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（3）转换器类型 24bit;采样率 48K</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（4）频率响应 20~20KHZ</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（5）模/数动态范围（A-计权. 114dB</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台</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90"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FF0000"/>
                <w:sz w:val="18"/>
                <w:szCs w:val="18"/>
              </w:rPr>
            </w:pPr>
            <w:r>
              <w:rPr>
                <w:rFonts w:hint="eastAsia" w:ascii="仿宋" w:hAnsi="仿宋" w:eastAsia="仿宋" w:cs="仿宋"/>
                <w:color w:val="000000" w:themeColor="text1"/>
                <w:sz w:val="18"/>
                <w:szCs w:val="18"/>
                <w14:textFill>
                  <w14:solidFill>
                    <w14:schemeClr w14:val="tx1"/>
                  </w14:solidFill>
                </w14:textFill>
              </w:rPr>
              <w:t>14</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采访话筒</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（1）单体：背极式驻极体</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（2）指向性：超心型</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（3）频率响应：40Hz—16kHz</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（4）低频衰减：内置</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（5）灵敏度：-29dB±3dB（1dB=1V/Pa at 1kHz.</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（6）输出抗阻：500Ω±20%（at 1kHz.</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（7）最大声压级：130dB（T.H.D≤1% at 1kHz.</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（8）信噪比：70dB（1KHz at 1Pa.</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（9）动态范围：106dB（1kHz at Max SPL.</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（10）使用电源：48V 幻象电源（48V DC.，2</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支</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12</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90"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15</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无线话筒</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采用UHF超高频段，提供多通道（32/64/99通道）选择，避免干扰</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频率范围：500MHz-980MHz</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调制方式：FM</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音频响应：50Hz-15KHz</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综合信噪比S/N：&gt;105dB</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综合失真：≤ 0.5%</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接收机：</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采用微电脑CPU控制</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PLL锁相环频率合成技术</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杂讯锁定静噪控制+音码导航锁定静噪控制</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音频动态扩展及自动电平控制电路</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频率响应：40Hz-18KHz</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发射机：</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发射功率：高巩固率10dBm，低功率5dBm</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调制方式：FM</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最大调制度：±45KHz</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套</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90"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16</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录制面板</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 在讲台上镶嵌式安装方式；</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2. 控制接口：RS232</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3. 信号指示灯：支持</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4. 支持一键式系统电源开关控制。</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5. 一键式录制、停止、锁定电脑信号；</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6. 支持本地录播全自动的开启、关闭控制。该功能同时支持录播模式和互动模式。</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7. 支持通过面板一键发起与远端设备互动连接；</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8. 支持通过交互控制面板切换互动画面的信号源，并传输到听课室，包括本地老师信号、学生信号、电脑信号、远端课室画面。</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个</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09"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17</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电源管理器</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 xml:space="preserve">（1）向录播视频系统、音频系统、显示系统提供统一的、至少八路电源管理； </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（2）支持对录播系统控制功能，实现通过录制面板一键启动录播系统相关设备的电源；</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（3）支持录播系统的远程集中统一控制，实现录播主机远程开关机；</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台</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605"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18</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笔记本电脑</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（1）1U的机身更耐用可靠更轻巧，质量好稳定性高，低噪音。</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 xml:space="preserve">（2）各通道配置独立、可扫描高／低通滤波器可优化超低音扬声器或整个系统的输出。 </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（3）电源采用高涟波电流电解电容有效提高低频氛围感更耐可靠用。</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（4）提供综合保护措施包括DC检测、热保护、电流限制和衰减器保护。</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（5）频率响应 20Hz-20KHz，+0/0.3dB</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（6）输出功率 2x200W (8Ω) ，2x300W (4Ω)</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（7）信 噪 比 ＞100dB</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（8）串音 ＞90dB@1KHz</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（9）输入阻抗 39KΩ/15KΩ</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（10）输入灵敏度 0.775V/1.0V/1.4V</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（11）瞬态响应 ≥30V</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（11）瞬态响应 ≥30V</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台</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605"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19</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功放</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（1）1U的机身更耐用可靠更轻巧，质量好稳定性高，低噪音。</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（2）各通道配置独立、可扫描高／低通滤波器可优化超低音扬声器或整个系统的输出。 </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（3）电源采用高涟波电流电解电容有效提高低频氛围感更耐可靠用。</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（4）提供综合保护措施包括DC检测、热保护、电流限制和衰减器保护。</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（5）频率响应 20Hz-20KHz，+0/0.3dB</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（6）输出功率 2x200W (8Ω) ，2x300W (4Ω)</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（7）信 噪 比 ＞100dB</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（8）串音 ＞90dB@1KHz</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（9）输入阻抗 39KΩ/15KΩ</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（10）输入灵敏度 0.775V/1.0V/1.4V</w:t>
            </w:r>
          </w:p>
          <w:p>
            <w:pPr>
              <w:spacing w:after="0" w:line="240" w:lineRule="auto"/>
              <w:jc w:val="left"/>
              <w:rPr>
                <w:rFonts w:hint="eastAsia" w:ascii="仿宋" w:hAnsi="仿宋" w:eastAsia="仿宋" w:cs="仿宋"/>
                <w:color w:val="000000"/>
                <w:sz w:val="18"/>
                <w:szCs w:val="18"/>
              </w:rPr>
            </w:pPr>
            <w:r>
              <w:rPr>
                <w:rFonts w:hint="eastAsia" w:ascii="仿宋" w:hAnsi="仿宋" w:eastAsia="仿宋" w:cs="仿宋"/>
                <w:color w:val="000000"/>
                <w:sz w:val="18"/>
                <w:szCs w:val="18"/>
              </w:rPr>
              <w:t>（11）瞬态响应 ≥30V</w:t>
            </w:r>
          </w:p>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（11）瞬态响应 ≥30V</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台</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605"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20</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音箱</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（1）内置标准HF线性，释放纯粹而清透的声音，确保较高的保真度</w:t>
            </w:r>
            <w:r>
              <w:rPr>
                <w:rFonts w:hint="eastAsia" w:ascii="仿宋" w:hAnsi="仿宋" w:eastAsia="仿宋" w:cs="仿宋"/>
                <w:color w:val="000000"/>
                <w:sz w:val="18"/>
                <w:szCs w:val="18"/>
              </w:rPr>
              <w:br w:type="textWrapping"/>
            </w:r>
            <w:r>
              <w:rPr>
                <w:rFonts w:hint="eastAsia" w:ascii="仿宋" w:hAnsi="仿宋" w:eastAsia="仿宋" w:cs="仿宋"/>
                <w:color w:val="000000"/>
                <w:sz w:val="18"/>
                <w:szCs w:val="18"/>
              </w:rPr>
              <w:t>独有的箱体单元组合技术，消除了低频信号的谐波失真，使音箱的低音更加纯正</w:t>
            </w:r>
            <w:r>
              <w:rPr>
                <w:rFonts w:hint="eastAsia" w:ascii="仿宋" w:hAnsi="仿宋" w:eastAsia="仿宋" w:cs="仿宋"/>
                <w:color w:val="000000"/>
                <w:sz w:val="18"/>
                <w:szCs w:val="18"/>
              </w:rPr>
              <w:br w:type="textWrapping"/>
            </w:r>
            <w:r>
              <w:rPr>
                <w:rFonts w:hint="eastAsia" w:ascii="仿宋" w:hAnsi="仿宋" w:eastAsia="仿宋" w:cs="仿宋"/>
                <w:color w:val="000000"/>
                <w:sz w:val="18"/>
                <w:szCs w:val="18"/>
              </w:rPr>
              <w:t>（2）超高性能的驱动器单元，可以实现高效率、高功率输入带来高声压级极低失真的内在表现，长期使用表现出良好的耐用性</w:t>
            </w:r>
            <w:r>
              <w:rPr>
                <w:rFonts w:hint="eastAsia" w:ascii="仿宋" w:hAnsi="仿宋" w:eastAsia="仿宋" w:cs="仿宋"/>
                <w:color w:val="000000"/>
                <w:sz w:val="18"/>
                <w:szCs w:val="18"/>
              </w:rPr>
              <w:br w:type="textWrapping"/>
            </w:r>
            <w:r>
              <w:rPr>
                <w:rFonts w:hint="eastAsia" w:ascii="仿宋" w:hAnsi="仿宋" w:eastAsia="仿宋" w:cs="仿宋"/>
                <w:color w:val="000000"/>
                <w:sz w:val="18"/>
                <w:szCs w:val="18"/>
              </w:rPr>
              <w:t>（3）采用对称斜面屏障设计，配置的扬声器排成阵列，喇叭单元上下方向排列的指向性可使声音在水平方向均匀地扩散，获得很好的声场均匀度</w:t>
            </w:r>
            <w:r>
              <w:rPr>
                <w:rFonts w:hint="eastAsia" w:ascii="仿宋" w:hAnsi="仿宋" w:eastAsia="仿宋" w:cs="仿宋"/>
                <w:color w:val="000000"/>
                <w:sz w:val="18"/>
                <w:szCs w:val="18"/>
              </w:rPr>
              <w:br w:type="textWrapping"/>
            </w:r>
            <w:r>
              <w:rPr>
                <w:rFonts w:hint="eastAsia" w:ascii="仿宋" w:hAnsi="仿宋" w:eastAsia="仿宋" w:cs="仿宋"/>
                <w:color w:val="000000"/>
                <w:sz w:val="18"/>
                <w:szCs w:val="18"/>
              </w:rPr>
              <w:t>（4）扬声器箱体采用特殊乙烯树脂一次注塑成型，箱体轻巧坚固</w:t>
            </w:r>
            <w:r>
              <w:rPr>
                <w:rFonts w:hint="eastAsia" w:ascii="仿宋" w:hAnsi="仿宋" w:eastAsia="仿宋" w:cs="仿宋"/>
                <w:color w:val="000000"/>
                <w:sz w:val="18"/>
                <w:szCs w:val="18"/>
              </w:rPr>
              <w:br w:type="textWrapping"/>
            </w:r>
            <w:r>
              <w:rPr>
                <w:rFonts w:hint="eastAsia" w:ascii="仿宋" w:hAnsi="仿宋" w:eastAsia="仿宋" w:cs="仿宋"/>
                <w:color w:val="000000"/>
                <w:sz w:val="18"/>
                <w:szCs w:val="18"/>
              </w:rPr>
              <w:t>（5）高音单元：1＂</w:t>
            </w:r>
            <w:r>
              <w:rPr>
                <w:rFonts w:hint="eastAsia" w:ascii="仿宋" w:hAnsi="仿宋" w:eastAsia="仿宋" w:cs="仿宋"/>
                <w:color w:val="000000"/>
                <w:sz w:val="18"/>
                <w:szCs w:val="18"/>
              </w:rPr>
              <w:br w:type="textWrapping"/>
            </w:r>
            <w:r>
              <w:rPr>
                <w:rFonts w:hint="eastAsia" w:ascii="仿宋" w:hAnsi="仿宋" w:eastAsia="仿宋" w:cs="仿宋"/>
                <w:color w:val="000000"/>
                <w:sz w:val="18"/>
                <w:szCs w:val="18"/>
              </w:rPr>
              <w:t>（6）低音单元：6.5＂</w:t>
            </w:r>
            <w:r>
              <w:rPr>
                <w:rFonts w:hint="eastAsia" w:ascii="仿宋" w:hAnsi="仿宋" w:eastAsia="仿宋" w:cs="仿宋"/>
                <w:color w:val="000000"/>
                <w:sz w:val="18"/>
                <w:szCs w:val="18"/>
              </w:rPr>
              <w:br w:type="textWrapping"/>
            </w:r>
            <w:r>
              <w:rPr>
                <w:rFonts w:hint="eastAsia" w:ascii="仿宋" w:hAnsi="仿宋" w:eastAsia="仿宋" w:cs="仿宋"/>
                <w:color w:val="000000"/>
                <w:sz w:val="18"/>
                <w:szCs w:val="18"/>
              </w:rPr>
              <w:t>（7）频率响应：60Hz-20KHz</w:t>
            </w:r>
            <w:r>
              <w:rPr>
                <w:rFonts w:hint="eastAsia" w:ascii="仿宋" w:hAnsi="仿宋" w:eastAsia="仿宋" w:cs="仿宋"/>
                <w:color w:val="000000"/>
                <w:sz w:val="18"/>
                <w:szCs w:val="18"/>
              </w:rPr>
              <w:br w:type="textWrapping"/>
            </w:r>
            <w:r>
              <w:rPr>
                <w:rFonts w:hint="eastAsia" w:ascii="仿宋" w:hAnsi="仿宋" w:eastAsia="仿宋" w:cs="仿宋"/>
                <w:color w:val="000000"/>
                <w:sz w:val="18"/>
                <w:szCs w:val="18"/>
              </w:rPr>
              <w:t>（8）阻抗： 6Ω</w:t>
            </w:r>
            <w:r>
              <w:rPr>
                <w:rFonts w:hint="eastAsia" w:ascii="仿宋" w:hAnsi="仿宋" w:eastAsia="仿宋" w:cs="仿宋"/>
                <w:color w:val="000000"/>
                <w:sz w:val="18"/>
                <w:szCs w:val="18"/>
              </w:rPr>
              <w:br w:type="textWrapping"/>
            </w:r>
            <w:r>
              <w:rPr>
                <w:rFonts w:hint="eastAsia" w:ascii="仿宋" w:hAnsi="仿宋" w:eastAsia="仿宋" w:cs="仿宋"/>
                <w:color w:val="000000"/>
                <w:sz w:val="18"/>
                <w:szCs w:val="18"/>
              </w:rPr>
              <w:t>（9）功率：60W(RMS)    120W(PEAK)</w:t>
            </w:r>
            <w:r>
              <w:rPr>
                <w:rFonts w:hint="eastAsia" w:ascii="仿宋" w:hAnsi="仿宋" w:eastAsia="仿宋" w:cs="仿宋"/>
                <w:color w:val="000000"/>
                <w:sz w:val="18"/>
                <w:szCs w:val="18"/>
              </w:rPr>
              <w:br w:type="textWrapping"/>
            </w:r>
            <w:r>
              <w:rPr>
                <w:rFonts w:hint="eastAsia" w:ascii="仿宋" w:hAnsi="仿宋" w:eastAsia="仿宋" w:cs="仿宋"/>
                <w:color w:val="000000"/>
                <w:sz w:val="18"/>
                <w:szCs w:val="18"/>
              </w:rPr>
              <w:t>（10）灵敏度：91dB</w:t>
            </w:r>
            <w:r>
              <w:rPr>
                <w:rFonts w:hint="eastAsia" w:ascii="仿宋" w:hAnsi="仿宋" w:eastAsia="仿宋" w:cs="仿宋"/>
                <w:color w:val="000000"/>
                <w:sz w:val="18"/>
                <w:szCs w:val="18"/>
              </w:rPr>
              <w:br w:type="textWrapping"/>
            </w:r>
            <w:r>
              <w:rPr>
                <w:rFonts w:hint="eastAsia" w:ascii="仿宋" w:hAnsi="仿宋" w:eastAsia="仿宋" w:cs="仿宋"/>
                <w:color w:val="000000"/>
                <w:sz w:val="18"/>
                <w:szCs w:val="18"/>
              </w:rPr>
              <w:t>（8）阻抗： 6Ω</w:t>
            </w:r>
            <w:r>
              <w:rPr>
                <w:rFonts w:hint="eastAsia" w:ascii="仿宋" w:hAnsi="仿宋" w:eastAsia="仿宋" w:cs="仿宋"/>
                <w:color w:val="000000"/>
                <w:sz w:val="18"/>
                <w:szCs w:val="18"/>
              </w:rPr>
              <w:br w:type="textWrapping"/>
            </w:r>
            <w:r>
              <w:rPr>
                <w:rFonts w:hint="eastAsia" w:ascii="仿宋" w:hAnsi="仿宋" w:eastAsia="仿宋" w:cs="仿宋"/>
                <w:color w:val="000000"/>
                <w:sz w:val="18"/>
                <w:szCs w:val="18"/>
              </w:rPr>
              <w:t>（9）功率：60W(RMS)    120W(PEAK)</w:t>
            </w:r>
            <w:r>
              <w:rPr>
                <w:rFonts w:hint="eastAsia" w:ascii="仿宋" w:hAnsi="仿宋" w:eastAsia="仿宋" w:cs="仿宋"/>
                <w:color w:val="000000"/>
                <w:sz w:val="18"/>
                <w:szCs w:val="18"/>
              </w:rPr>
              <w:br w:type="textWrapping"/>
            </w:r>
            <w:r>
              <w:rPr>
                <w:rFonts w:hint="eastAsia" w:ascii="仿宋" w:hAnsi="仿宋" w:eastAsia="仿宋" w:cs="仿宋"/>
                <w:color w:val="000000"/>
                <w:sz w:val="18"/>
                <w:szCs w:val="18"/>
              </w:rPr>
              <w:t>（10）灵敏度：91dB</w:t>
            </w:r>
            <w:r>
              <w:rPr>
                <w:rFonts w:hint="eastAsia" w:ascii="仿宋" w:hAnsi="仿宋" w:eastAsia="仿宋" w:cs="仿宋"/>
                <w:color w:val="000000"/>
                <w:sz w:val="18"/>
                <w:szCs w:val="18"/>
              </w:rPr>
              <w:br w:type="textWrapping"/>
            </w:r>
            <w:r>
              <w:rPr>
                <w:rFonts w:hint="eastAsia" w:ascii="仿宋" w:hAnsi="仿宋" w:eastAsia="仿宋" w:cs="仿宋"/>
                <w:color w:val="000000"/>
                <w:sz w:val="18"/>
                <w:szCs w:val="18"/>
              </w:rPr>
              <w:t>（11）最大声压级：105dB</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对</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4</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90"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21</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二次装修</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请电话联系索要装修明细和图纸</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项</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445" w:hRule="atLeast"/>
        </w:trPr>
        <w:tc>
          <w:tcPr>
            <w:tcW w:w="62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22</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机柜</w:t>
            </w:r>
          </w:p>
        </w:tc>
        <w:tc>
          <w:tcPr>
            <w:tcW w:w="426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after="0" w:line="240" w:lineRule="auto"/>
              <w:jc w:val="left"/>
              <w:rPr>
                <w:rFonts w:ascii="仿宋" w:hAnsi="仿宋" w:eastAsia="仿宋" w:cs="仿宋"/>
                <w:color w:val="000000"/>
                <w:sz w:val="18"/>
                <w:szCs w:val="18"/>
              </w:rPr>
            </w:pPr>
            <w:r>
              <w:rPr>
                <w:rFonts w:hint="eastAsia" w:ascii="仿宋" w:hAnsi="仿宋" w:eastAsia="仿宋" w:cs="仿宋"/>
                <w:color w:val="000000"/>
                <w:sz w:val="18"/>
                <w:szCs w:val="18"/>
              </w:rPr>
              <w:t>32U</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个</w:t>
            </w: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r>
              <w:rPr>
                <w:rFonts w:hint="eastAsia" w:ascii="仿宋" w:hAnsi="仿宋" w:eastAsia="仿宋" w:cs="仿宋"/>
                <w:color w:val="000000"/>
                <w:sz w:val="18"/>
                <w:szCs w:val="18"/>
              </w:rPr>
              <w:t>1</w:t>
            </w: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586" w:hRule="atLeast"/>
        </w:trPr>
        <w:tc>
          <w:tcPr>
            <w:tcW w:w="601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tabs>
                <w:tab w:val="left" w:pos="2262"/>
              </w:tabs>
              <w:spacing w:after="0" w:line="240" w:lineRule="auto"/>
              <w:rPr>
                <w:rFonts w:ascii="仿宋" w:hAnsi="仿宋" w:eastAsia="仿宋" w:cs="仿宋"/>
                <w:color w:val="000000"/>
                <w:sz w:val="18"/>
                <w:szCs w:val="18"/>
              </w:rPr>
            </w:pPr>
            <w:r>
              <w:rPr>
                <w:rFonts w:hint="eastAsia" w:ascii="仿宋" w:hAnsi="仿宋" w:eastAsia="仿宋" w:cs="仿宋"/>
                <w:color w:val="000000"/>
                <w:sz w:val="18"/>
                <w:szCs w:val="18"/>
              </w:rPr>
              <w:tab/>
            </w:r>
            <w:r>
              <w:rPr>
                <w:rFonts w:hint="eastAsia" w:ascii="仿宋" w:hAnsi="仿宋" w:eastAsia="仿宋" w:cs="仿宋"/>
                <w:color w:val="000000"/>
                <w:sz w:val="18"/>
                <w:szCs w:val="18"/>
              </w:rPr>
              <w:t>合计（含税）</w:t>
            </w:r>
          </w:p>
        </w:tc>
        <w:tc>
          <w:tcPr>
            <w:tcW w:w="6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72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9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c>
          <w:tcPr>
            <w:tcW w:w="67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s="仿宋"/>
                <w:color w:val="000000"/>
                <w:sz w:val="18"/>
                <w:szCs w:val="18"/>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w:t>
      </w:r>
      <w:r>
        <w:rPr>
          <w:rFonts w:hint="eastAsia" w:ascii="仿宋" w:hAnsi="仿宋" w:eastAsia="仿宋" w:cs="仿宋"/>
          <w:bCs/>
          <w:sz w:val="24"/>
          <w:szCs w:val="24"/>
          <w:lang w:val="en-US" w:eastAsia="zh-CN"/>
        </w:rPr>
        <w:t>≥</w:t>
      </w:r>
      <w:r>
        <w:rPr>
          <w:rFonts w:hint="eastAsia" w:ascii="仿宋" w:hAnsi="仿宋" w:eastAsia="仿宋" w:cs="仿宋"/>
          <w:bCs/>
          <w:sz w:val="24"/>
          <w:szCs w:val="24"/>
        </w:rPr>
        <w:t>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p>
    <w:p>
      <w:pPr>
        <w:spacing w:line="1000" w:lineRule="exact"/>
        <w:jc w:val="both"/>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肇庆校区录播教室设备采购项目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213756051"/>
      <w:bookmarkStart w:id="54" w:name="_Toc191803626"/>
      <w:bookmarkStart w:id="55" w:name="_Toc192664153"/>
      <w:bookmarkStart w:id="56" w:name="_Toc203355733"/>
      <w:bookmarkStart w:id="57" w:name="_Toc170798793"/>
      <w:bookmarkStart w:id="58" w:name="_Toc192663835"/>
      <w:bookmarkStart w:id="59" w:name="_Toc267060321"/>
      <w:bookmarkStart w:id="60" w:name="_Toc267060208"/>
      <w:bookmarkStart w:id="61" w:name="_Toc223146608"/>
      <w:bookmarkStart w:id="62" w:name="_Toc191789329"/>
      <w:bookmarkStart w:id="63" w:name="_Toc273178698"/>
      <w:bookmarkStart w:id="64" w:name="_Toc267059539"/>
      <w:bookmarkStart w:id="65" w:name="_Toc258401256"/>
      <w:bookmarkStart w:id="66" w:name="_Toc259692740"/>
      <w:bookmarkStart w:id="67" w:name="_Toc169332838"/>
      <w:bookmarkStart w:id="68" w:name="_Toc267059181"/>
      <w:bookmarkStart w:id="69" w:name="_Toc181436461"/>
      <w:bookmarkStart w:id="70" w:name="_Toc182372782"/>
      <w:bookmarkStart w:id="71" w:name="_Toc213755939"/>
      <w:bookmarkStart w:id="72" w:name="_Toc191783222"/>
      <w:bookmarkStart w:id="73" w:name="_Toc267059919"/>
      <w:bookmarkStart w:id="74" w:name="_Toc235437991"/>
      <w:bookmarkStart w:id="75" w:name="_Toc181436565"/>
      <w:bookmarkStart w:id="76" w:name="_Toc267060068"/>
      <w:bookmarkStart w:id="77" w:name="_Toc217891402"/>
      <w:bookmarkStart w:id="78" w:name="_Toc255975007"/>
      <w:bookmarkStart w:id="79" w:name="_Toc193165734"/>
      <w:bookmarkStart w:id="80" w:name="_Toc251613829"/>
      <w:bookmarkStart w:id="81" w:name="_Toc235438274"/>
      <w:bookmarkStart w:id="82" w:name="_Toc230071147"/>
      <w:bookmarkStart w:id="83" w:name="_Toc267059030"/>
      <w:bookmarkStart w:id="84" w:name="_Toc259520865"/>
      <w:bookmarkStart w:id="85" w:name="_Toc213208766"/>
      <w:bookmarkStart w:id="86" w:name="_Toc232302115"/>
      <w:bookmarkStart w:id="87" w:name="_Toc259692647"/>
      <w:bookmarkStart w:id="88" w:name="_Toc266870833"/>
      <w:bookmarkStart w:id="89" w:name="_Toc266870907"/>
      <w:bookmarkStart w:id="90" w:name="_Toc266868670"/>
      <w:bookmarkStart w:id="91" w:name="_Toc169332949"/>
      <w:bookmarkStart w:id="92" w:name="_Toc192663686"/>
      <w:bookmarkStart w:id="93" w:name="_Toc180302913"/>
      <w:bookmarkStart w:id="94" w:name="_Toc254790899"/>
      <w:bookmarkStart w:id="95" w:name="_Toc191802690"/>
      <w:bookmarkStart w:id="96" w:name="_Toc192996446"/>
      <w:bookmarkStart w:id="97" w:name="_Toc266868937"/>
      <w:bookmarkStart w:id="98" w:name="_Toc266870432"/>
      <w:bookmarkStart w:id="99" w:name="_Toc193160448"/>
      <w:bookmarkStart w:id="100" w:name="_Toc227058530"/>
      <w:bookmarkStart w:id="101" w:name="_Toc253066614"/>
      <w:bookmarkStart w:id="102" w:name="_Toc211917116"/>
      <w:bookmarkStart w:id="103" w:name="_Toc160880160"/>
      <w:bookmarkStart w:id="104" w:name="_Toc160880529"/>
      <w:bookmarkStart w:id="105" w:name="_Toc267059653"/>
      <w:bookmarkStart w:id="106" w:name="_Toc213755995"/>
      <w:bookmarkStart w:id="107" w:name="_Toc251586231"/>
      <w:bookmarkStart w:id="108" w:name="_Toc267060453"/>
      <w:bookmarkStart w:id="109" w:name="_Toc182805217"/>
      <w:bookmarkStart w:id="110" w:name="_Toc213755858"/>
      <w:bookmarkStart w:id="111" w:name="_Toc219800243"/>
      <w:bookmarkStart w:id="112" w:name="_Toc236021449"/>
      <w:bookmarkStart w:id="113" w:name="_Toc192996338"/>
      <w:bookmarkStart w:id="114" w:name="_Toc235438344"/>
      <w:bookmarkStart w:id="115" w:name="_Toc225669322"/>
      <w:bookmarkStart w:id="116" w:name="_Toc177985469"/>
      <w:bookmarkStart w:id="117" w:name="_Toc267059806"/>
      <w:bookmarkStart w:id="118" w:name="_Toc249325711"/>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160880534"/>
      <w:bookmarkStart w:id="120" w:name="_Toc192664158"/>
      <w:bookmarkStart w:id="121" w:name="_Toc267059035"/>
      <w:bookmarkStart w:id="122" w:name="_Toc267060076"/>
      <w:bookmarkStart w:id="123" w:name="_Toc227058536"/>
      <w:bookmarkStart w:id="124" w:name="_Toc267060216"/>
      <w:bookmarkStart w:id="125" w:name="_Toc267059658"/>
      <w:bookmarkStart w:id="126" w:name="_Toc213756001"/>
      <w:bookmarkStart w:id="127" w:name="_Toc213208771"/>
      <w:bookmarkStart w:id="128" w:name="_Toc203355738"/>
      <w:bookmarkStart w:id="129" w:name="_Toc236021457"/>
      <w:bookmarkStart w:id="130" w:name="_Toc192996343"/>
      <w:bookmarkStart w:id="131" w:name="_Toc255975016"/>
      <w:bookmarkStart w:id="132" w:name="_Toc259692656"/>
      <w:bookmarkStart w:id="133" w:name="_Toc267060326"/>
      <w:bookmarkStart w:id="134" w:name="_Toc181436570"/>
      <w:bookmarkStart w:id="135" w:name="_Toc191803631"/>
      <w:bookmarkStart w:id="136" w:name="_Toc225669328"/>
      <w:bookmarkStart w:id="137" w:name="_Toc169332954"/>
      <w:bookmarkStart w:id="138" w:name="_Toc251586241"/>
      <w:bookmarkStart w:id="139" w:name="_Toc213756057"/>
      <w:bookmarkStart w:id="140" w:name="_Toc170798798"/>
      <w:bookmarkStart w:id="141" w:name="_Toc193165739"/>
      <w:bookmarkStart w:id="142" w:name="_Toc267060461"/>
      <w:bookmarkStart w:id="143" w:name="_Toc258401265"/>
      <w:bookmarkStart w:id="144" w:name="_Toc273178703"/>
      <w:bookmarkStart w:id="145" w:name="_Toc211917121"/>
      <w:bookmarkStart w:id="146" w:name="_Toc177985474"/>
      <w:bookmarkStart w:id="147" w:name="_Toc253066624"/>
      <w:bookmarkStart w:id="148" w:name="_Toc251613839"/>
      <w:bookmarkStart w:id="149" w:name="_Toc213755945"/>
      <w:bookmarkStart w:id="150" w:name="_Toc232302122"/>
      <w:bookmarkStart w:id="151" w:name="_Toc267059924"/>
      <w:bookmarkStart w:id="152" w:name="_Toc169332843"/>
      <w:bookmarkStart w:id="153" w:name="_Toc191789334"/>
      <w:bookmarkStart w:id="154" w:name="_Toc266870839"/>
      <w:bookmarkStart w:id="155" w:name="_Toc267059811"/>
      <w:bookmarkStart w:id="156" w:name="_Toc230071153"/>
      <w:bookmarkStart w:id="157" w:name="_Toc192663840"/>
      <w:bookmarkStart w:id="158" w:name="_Toc259520874"/>
      <w:bookmarkStart w:id="159" w:name="_Toc235438352"/>
      <w:bookmarkStart w:id="160" w:name="_Toc266870916"/>
      <w:bookmarkStart w:id="161" w:name="_Toc235437998"/>
      <w:bookmarkStart w:id="162" w:name="_Toc223146614"/>
      <w:bookmarkStart w:id="163" w:name="_Toc182805222"/>
      <w:bookmarkStart w:id="164" w:name="_Toc192996451"/>
      <w:bookmarkStart w:id="165" w:name="_Toc213755864"/>
      <w:bookmarkStart w:id="166" w:name="_Toc191802695"/>
      <w:bookmarkStart w:id="167" w:name="_Toc266868679"/>
      <w:bookmarkStart w:id="168" w:name="_Toc192663691"/>
      <w:bookmarkStart w:id="169" w:name="_Toc266868943"/>
      <w:bookmarkStart w:id="170" w:name="_Toc217891408"/>
      <w:bookmarkStart w:id="171" w:name="_Toc267059544"/>
      <w:bookmarkStart w:id="172" w:name="_Toc182372787"/>
      <w:bookmarkStart w:id="173" w:name="_Toc249325720"/>
      <w:bookmarkStart w:id="174" w:name="_Toc266870441"/>
      <w:bookmarkStart w:id="175" w:name="_Toc254790909"/>
      <w:bookmarkStart w:id="176" w:name="_Toc191783227"/>
      <w:bookmarkStart w:id="177" w:name="_Toc181436466"/>
      <w:bookmarkStart w:id="178" w:name="_Toc180302918"/>
      <w:bookmarkStart w:id="179" w:name="_Toc160880165"/>
      <w:bookmarkStart w:id="180" w:name="_Toc267059186"/>
      <w:bookmarkStart w:id="181" w:name="_Toc219800249"/>
      <w:bookmarkStart w:id="182" w:name="_Toc193160453"/>
      <w:bookmarkStart w:id="183" w:name="_Toc235438281"/>
      <w:bookmarkStart w:id="184" w:name="_Toc259692749"/>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53066625"/>
      <w:bookmarkStart w:id="186" w:name="_Toc236021458"/>
      <w:bookmarkStart w:id="187" w:name="_Toc235438353"/>
      <w:bookmarkStart w:id="188" w:name="_Toc266870917"/>
      <w:bookmarkStart w:id="189" w:name="_Toc251586242"/>
      <w:bookmarkStart w:id="190" w:name="_Toc219800250"/>
      <w:bookmarkStart w:id="191" w:name="_Toc267060077"/>
      <w:bookmarkStart w:id="192" w:name="_Toc217891409"/>
      <w:bookmarkStart w:id="193" w:name="_Toc251613840"/>
      <w:bookmarkStart w:id="194" w:name="_Toc259692750"/>
      <w:bookmarkStart w:id="195" w:name="_Toc230071154"/>
      <w:bookmarkStart w:id="196" w:name="_Toc267060217"/>
      <w:bookmarkStart w:id="197" w:name="_Toc235438282"/>
      <w:bookmarkStart w:id="198" w:name="_Toc259520875"/>
      <w:bookmarkStart w:id="199" w:name="_Toc258401266"/>
      <w:bookmarkStart w:id="200" w:name="_Toc235437999"/>
      <w:bookmarkStart w:id="201" w:name="_Toc259692657"/>
      <w:bookmarkStart w:id="202" w:name="_Toc232302123"/>
      <w:bookmarkStart w:id="203" w:name="_Toc266870442"/>
      <w:bookmarkStart w:id="204" w:name="_Toc255975017"/>
      <w:bookmarkStart w:id="205" w:name="_Toc249325721"/>
      <w:bookmarkStart w:id="206" w:name="_Toc225669329"/>
      <w:bookmarkStart w:id="207" w:name="_Toc223146615"/>
      <w:bookmarkStart w:id="208" w:name="_Toc227058537"/>
      <w:bookmarkStart w:id="209" w:name="_Toc267060462"/>
      <w:bookmarkStart w:id="210" w:name="_Toc266868680"/>
      <w:bookmarkStart w:id="211" w:name="_Toc213756058"/>
      <w:bookmarkStart w:id="212" w:name="_Toc254790910"/>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32302124"/>
      <w:bookmarkStart w:id="215" w:name="_Toc266870443"/>
      <w:bookmarkStart w:id="216" w:name="_Toc266870918"/>
      <w:bookmarkStart w:id="217" w:name="_Toc235438283"/>
      <w:bookmarkStart w:id="218" w:name="_Toc230071155"/>
      <w:bookmarkStart w:id="219" w:name="_Toc259692751"/>
      <w:bookmarkStart w:id="220" w:name="_Toc253066626"/>
      <w:bookmarkStart w:id="221" w:name="_Toc258401267"/>
      <w:bookmarkStart w:id="222" w:name="_Toc251613841"/>
      <w:bookmarkStart w:id="223" w:name="_Toc236021459"/>
      <w:bookmarkStart w:id="224" w:name="_Toc251586243"/>
      <w:bookmarkStart w:id="225" w:name="_Toc217891410"/>
      <w:bookmarkStart w:id="226" w:name="_Toc249325722"/>
      <w:bookmarkStart w:id="227" w:name="_Toc235438354"/>
      <w:bookmarkStart w:id="228" w:name="_Toc227058538"/>
      <w:bookmarkStart w:id="229" w:name="_Toc266868681"/>
      <w:bookmarkStart w:id="230" w:name="_Toc219800251"/>
      <w:bookmarkStart w:id="231" w:name="_Toc255975018"/>
      <w:bookmarkStart w:id="232" w:name="_Toc223146616"/>
      <w:bookmarkStart w:id="233" w:name="_Toc259692658"/>
      <w:bookmarkStart w:id="234" w:name="_Toc225669330"/>
      <w:bookmarkStart w:id="235" w:name="_Toc235438000"/>
      <w:bookmarkStart w:id="236" w:name="_Toc254790911"/>
      <w:bookmarkStart w:id="237" w:name="_Toc259520876"/>
      <w:bookmarkStart w:id="238" w:name="_Toc213756059"/>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259692754"/>
      <w:bookmarkStart w:id="240" w:name="_Toc267060465"/>
      <w:bookmarkStart w:id="241" w:name="_Toc266870446"/>
      <w:bookmarkStart w:id="242" w:name="_Toc258401272"/>
      <w:bookmarkStart w:id="243" w:name="_Toc259692663"/>
      <w:bookmarkStart w:id="244" w:name="_Toc192664161"/>
      <w:bookmarkStart w:id="245" w:name="_Toc255975021"/>
      <w:bookmarkStart w:id="246" w:name="_Toc251613844"/>
      <w:bookmarkStart w:id="247" w:name="_Toc235438286"/>
      <w:bookmarkStart w:id="248" w:name="_Toc180302921"/>
      <w:bookmarkStart w:id="249" w:name="_Toc191803634"/>
      <w:bookmarkStart w:id="250" w:name="_Toc192996454"/>
      <w:bookmarkStart w:id="251" w:name="_Toc255975023"/>
      <w:bookmarkStart w:id="252" w:name="_Toc169332957"/>
      <w:bookmarkStart w:id="253" w:name="_Toc191789337"/>
      <w:bookmarkStart w:id="254" w:name="_Toc267060466"/>
      <w:bookmarkStart w:id="255" w:name="_Toc235438003"/>
      <w:bookmarkStart w:id="256" w:name="_Toc191783230"/>
      <w:bookmarkStart w:id="257" w:name="_Toc249325725"/>
      <w:bookmarkStart w:id="258" w:name="_Toc267060220"/>
      <w:bookmarkStart w:id="259" w:name="_Toc259520881"/>
      <w:bookmarkStart w:id="260" w:name="_Toc236021462"/>
      <w:bookmarkStart w:id="261" w:name="_Toc203355741"/>
      <w:bookmarkStart w:id="262" w:name="_Toc235438357"/>
      <w:bookmarkStart w:id="263" w:name="_Toc266868684"/>
      <w:bookmarkStart w:id="264" w:name="_Toc259692661"/>
      <w:bookmarkStart w:id="265" w:name="_Toc160880168"/>
      <w:bookmarkStart w:id="266" w:name="_Toc192996346"/>
      <w:bookmarkStart w:id="267" w:name="_Toc181436573"/>
      <w:bookmarkStart w:id="268" w:name="_Toc253066629"/>
      <w:bookmarkStart w:id="269" w:name="_Toc251586246"/>
      <w:bookmarkStart w:id="270" w:name="_Toc181436469"/>
      <w:bookmarkStart w:id="271" w:name="_Toc182372790"/>
      <w:bookmarkStart w:id="272" w:name="_Toc211917124"/>
      <w:bookmarkStart w:id="273" w:name="_Toc266870922"/>
      <w:bookmarkStart w:id="274" w:name="_Toc170798801"/>
      <w:bookmarkStart w:id="275" w:name="_Toc182805225"/>
      <w:bookmarkStart w:id="276" w:name="_Toc177985477"/>
      <w:bookmarkStart w:id="277" w:name="_Toc160880537"/>
      <w:bookmarkStart w:id="278" w:name="_Toc169332846"/>
      <w:bookmarkStart w:id="279" w:name="_Toc267060080"/>
      <w:bookmarkStart w:id="280" w:name="_Toc193160456"/>
      <w:bookmarkStart w:id="281" w:name="_Toc192663843"/>
      <w:bookmarkStart w:id="282" w:name="_Toc191802698"/>
      <w:bookmarkStart w:id="283" w:name="_Toc254790914"/>
      <w:bookmarkStart w:id="284" w:name="_Toc232302127"/>
      <w:bookmarkStart w:id="285" w:name="_Toc258401270"/>
      <w:bookmarkStart w:id="286" w:name="_Toc266868686"/>
      <w:bookmarkStart w:id="287" w:name="_Toc266870447"/>
      <w:bookmarkStart w:id="288" w:name="_Toc192663694"/>
      <w:bookmarkStart w:id="289" w:name="_Toc254790916"/>
      <w:bookmarkStart w:id="290" w:name="_Toc267060221"/>
      <w:bookmarkStart w:id="291" w:name="_Toc193165742"/>
      <w:bookmarkStart w:id="292" w:name="_Toc266870921"/>
      <w:bookmarkStart w:id="293" w:name="_Toc259520879"/>
      <w:bookmarkStart w:id="294" w:name="_Toc259692756"/>
      <w:bookmarkStart w:id="295" w:name="_Toc267060081"/>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59520882"/>
      <w:bookmarkStart w:id="297" w:name="_Toc267060222"/>
      <w:bookmarkStart w:id="298" w:name="_Toc255975024"/>
      <w:bookmarkStart w:id="299" w:name="_Toc259692757"/>
      <w:bookmarkStart w:id="300" w:name="_Toc235438004"/>
      <w:bookmarkStart w:id="301" w:name="_Toc251613845"/>
      <w:bookmarkStart w:id="302" w:name="_Toc267059925"/>
      <w:bookmarkStart w:id="303" w:name="_Toc267059659"/>
      <w:bookmarkStart w:id="304" w:name="_Toc249325726"/>
      <w:bookmarkStart w:id="305" w:name="_Toc273178704"/>
      <w:bookmarkStart w:id="306" w:name="_Toc253066630"/>
      <w:bookmarkStart w:id="307" w:name="_Toc267060082"/>
      <w:bookmarkStart w:id="308" w:name="_Toc267059812"/>
      <w:bookmarkStart w:id="309" w:name="_Toc232302128"/>
      <w:bookmarkStart w:id="310" w:name="_Toc235438287"/>
      <w:bookmarkStart w:id="311" w:name="_Toc267060327"/>
      <w:bookmarkStart w:id="312" w:name="_Toc266870840"/>
      <w:bookmarkStart w:id="313" w:name="_Toc266870448"/>
      <w:bookmarkStart w:id="314" w:name="_Toc258401273"/>
      <w:bookmarkStart w:id="315" w:name="_Toc259692664"/>
      <w:bookmarkStart w:id="316" w:name="_Toc251586247"/>
      <w:bookmarkStart w:id="317" w:name="_Toc254790917"/>
      <w:bookmarkStart w:id="318" w:name="_Toc267059036"/>
      <w:bookmarkStart w:id="319" w:name="_Toc266868687"/>
      <w:bookmarkStart w:id="320" w:name="_Toc266868944"/>
      <w:bookmarkStart w:id="321" w:name="_Toc235438358"/>
      <w:bookmarkStart w:id="322" w:name="_Toc267059187"/>
      <w:bookmarkStart w:id="323" w:name="_Toc236021463"/>
      <w:bookmarkStart w:id="324" w:name="_Toc267060467"/>
      <w:bookmarkStart w:id="325" w:name="_Toc267059545"/>
      <w:bookmarkStart w:id="326" w:name="_Toc266870923"/>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进校需报备，请提前一天将进校人员信息发至微信账号：13678904923（请备注公司名称+姓名+项目名称）。（以文字形式提交即可）：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陈彩捷</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13678904923</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肇庆校区课后工作室官网搭建采购教学平台采购项目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drawing>
        <wp:inline distT="0" distB="0" distL="0" distR="0">
          <wp:extent cx="292989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38642" cy="43938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肇庆校区课后工作室官网搭建采购项目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项目编号：A-XJ2021-24</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FD26D28"/>
    <w:rsid w:val="20712DB7"/>
    <w:rsid w:val="294127F8"/>
    <w:rsid w:val="2BFC02FA"/>
    <w:rsid w:val="34E95998"/>
    <w:rsid w:val="3E344EC8"/>
    <w:rsid w:val="3F7E0460"/>
    <w:rsid w:val="42BD1856"/>
    <w:rsid w:val="55DB09AB"/>
    <w:rsid w:val="56433FC7"/>
    <w:rsid w:val="5AD846F3"/>
    <w:rsid w:val="5E6358A4"/>
    <w:rsid w:val="605E5BC9"/>
    <w:rsid w:val="6B8653CE"/>
    <w:rsid w:val="721B2883"/>
    <w:rsid w:val="763B0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6</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user</cp:lastModifiedBy>
  <dcterms:modified xsi:type="dcterms:W3CDTF">2021-07-14T12:10:08Z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2404D49C2003427989CADF3348DACCD2</vt:lpwstr>
  </property>
</Properties>
</file>