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highlight w:val="none"/>
          <w:lang w:val="en-US" w:eastAsia="zh-CN"/>
        </w:rPr>
      </w:pPr>
      <w:bookmarkStart w:id="0" w:name="_Hlk38472698"/>
      <w:bookmarkStart w:id="327" w:name="_GoBack"/>
    </w:p>
    <w:p>
      <w:pPr>
        <w:spacing w:line="1000" w:lineRule="exact"/>
        <w:jc w:val="center"/>
        <w:rPr>
          <w:rFonts w:hint="default" w:ascii="仿宋" w:hAnsi="仿宋" w:eastAsia="仿宋"/>
          <w:b/>
          <w:color w:val="auto"/>
          <w:sz w:val="72"/>
          <w:szCs w:val="72"/>
          <w:highlight w:val="none"/>
          <w:lang w:val="en-US"/>
        </w:rPr>
      </w:pPr>
      <w:r>
        <w:rPr>
          <w:rFonts w:hint="eastAsia" w:ascii="仿宋" w:hAnsi="仿宋" w:eastAsia="仿宋"/>
          <w:b/>
          <w:color w:val="auto"/>
          <w:sz w:val="72"/>
          <w:szCs w:val="72"/>
          <w:highlight w:val="none"/>
          <w:lang w:val="en-US" w:eastAsia="zh-CN"/>
        </w:rPr>
        <w:t>广州应用科技学院肇庆校区</w:t>
      </w:r>
    </w:p>
    <w:p>
      <w:pPr>
        <w:spacing w:line="1000" w:lineRule="exact"/>
        <w:jc w:val="center"/>
        <w:rPr>
          <w:rFonts w:ascii="仿宋" w:hAnsi="仿宋" w:eastAsia="仿宋"/>
          <w:b/>
          <w:color w:val="auto"/>
          <w:sz w:val="40"/>
          <w:szCs w:val="40"/>
          <w:highlight w:val="none"/>
        </w:rPr>
      </w:pPr>
      <w:r>
        <w:rPr>
          <w:rFonts w:hint="eastAsia" w:ascii="仿宋" w:hAnsi="仿宋" w:eastAsia="仿宋"/>
          <w:b/>
          <w:color w:val="auto"/>
          <w:sz w:val="40"/>
          <w:szCs w:val="40"/>
          <w:highlight w:val="none"/>
        </w:rPr>
        <w:t>关于</w:t>
      </w:r>
      <w:r>
        <w:rPr>
          <w:rFonts w:hint="eastAsia" w:ascii="仿宋" w:hAnsi="仿宋" w:eastAsia="仿宋"/>
          <w:b/>
          <w:color w:val="auto"/>
          <w:sz w:val="40"/>
          <w:szCs w:val="40"/>
          <w:highlight w:val="none"/>
          <w:lang w:val="en-US" w:eastAsia="zh-CN"/>
        </w:rPr>
        <w:t>大礼堂舞台灯光音响设备采购及安装项目</w:t>
      </w:r>
    </w:p>
    <w:bookmarkEnd w:id="0"/>
    <w:p>
      <w:pPr>
        <w:spacing w:line="1000" w:lineRule="exact"/>
        <w:jc w:val="center"/>
        <w:rPr>
          <w:rFonts w:ascii="仿宋" w:hAnsi="仿宋" w:eastAsia="仿宋"/>
          <w:b/>
          <w:color w:val="auto"/>
          <w:sz w:val="72"/>
          <w:szCs w:val="72"/>
          <w:highlight w:val="none"/>
        </w:rPr>
      </w:pPr>
      <w:r>
        <w:rPr>
          <w:rFonts w:hint="eastAsia" w:ascii="仿宋" w:hAnsi="仿宋" w:eastAsia="仿宋"/>
          <w:b/>
          <w:color w:val="auto"/>
          <w:sz w:val="72"/>
          <w:szCs w:val="72"/>
          <w:highlight w:val="none"/>
        </w:rPr>
        <w:t>公</w:t>
      </w:r>
    </w:p>
    <w:p>
      <w:pPr>
        <w:spacing w:line="1000" w:lineRule="exact"/>
        <w:jc w:val="center"/>
        <w:rPr>
          <w:rFonts w:ascii="仿宋" w:hAnsi="仿宋" w:eastAsia="仿宋"/>
          <w:b/>
          <w:color w:val="auto"/>
          <w:sz w:val="72"/>
          <w:szCs w:val="72"/>
          <w:highlight w:val="none"/>
        </w:rPr>
      </w:pPr>
      <w:r>
        <w:rPr>
          <w:rFonts w:hint="eastAsia" w:ascii="仿宋" w:hAnsi="仿宋" w:eastAsia="仿宋"/>
          <w:b/>
          <w:color w:val="auto"/>
          <w:sz w:val="72"/>
          <w:szCs w:val="72"/>
          <w:highlight w:val="none"/>
        </w:rPr>
        <w:t>开</w:t>
      </w:r>
    </w:p>
    <w:p>
      <w:pPr>
        <w:spacing w:line="1000" w:lineRule="exact"/>
        <w:jc w:val="center"/>
        <w:rPr>
          <w:rFonts w:ascii="仿宋" w:hAnsi="仿宋" w:eastAsia="仿宋"/>
          <w:b/>
          <w:color w:val="auto"/>
          <w:sz w:val="72"/>
          <w:szCs w:val="72"/>
          <w:highlight w:val="none"/>
        </w:rPr>
      </w:pPr>
      <w:r>
        <w:rPr>
          <w:rFonts w:hint="eastAsia" w:ascii="仿宋" w:hAnsi="仿宋" w:eastAsia="仿宋"/>
          <w:b/>
          <w:color w:val="auto"/>
          <w:sz w:val="72"/>
          <w:szCs w:val="72"/>
          <w:highlight w:val="none"/>
        </w:rPr>
        <w:t>询</w:t>
      </w:r>
    </w:p>
    <w:p>
      <w:pPr>
        <w:spacing w:line="1000" w:lineRule="exact"/>
        <w:jc w:val="center"/>
        <w:rPr>
          <w:rFonts w:ascii="仿宋" w:hAnsi="仿宋" w:eastAsia="仿宋"/>
          <w:b/>
          <w:color w:val="auto"/>
          <w:sz w:val="72"/>
          <w:szCs w:val="72"/>
          <w:highlight w:val="none"/>
        </w:rPr>
      </w:pPr>
      <w:r>
        <w:rPr>
          <w:rFonts w:hint="eastAsia" w:ascii="仿宋" w:hAnsi="仿宋" w:eastAsia="仿宋"/>
          <w:b/>
          <w:color w:val="auto"/>
          <w:sz w:val="72"/>
          <w:szCs w:val="72"/>
          <w:highlight w:val="none"/>
        </w:rPr>
        <w:t>价</w:t>
      </w:r>
    </w:p>
    <w:p>
      <w:pPr>
        <w:spacing w:line="1000" w:lineRule="exact"/>
        <w:jc w:val="center"/>
        <w:rPr>
          <w:rFonts w:ascii="仿宋" w:hAnsi="仿宋" w:eastAsia="仿宋"/>
          <w:b/>
          <w:color w:val="auto"/>
          <w:sz w:val="72"/>
          <w:szCs w:val="72"/>
          <w:highlight w:val="none"/>
        </w:rPr>
      </w:pPr>
      <w:r>
        <w:rPr>
          <w:rFonts w:hint="eastAsia" w:ascii="仿宋" w:hAnsi="仿宋" w:eastAsia="仿宋"/>
          <w:b/>
          <w:color w:val="auto"/>
          <w:sz w:val="72"/>
          <w:szCs w:val="72"/>
          <w:highlight w:val="none"/>
        </w:rPr>
        <w:t>邀</w:t>
      </w:r>
    </w:p>
    <w:p>
      <w:pPr>
        <w:spacing w:line="1000" w:lineRule="exact"/>
        <w:jc w:val="center"/>
        <w:rPr>
          <w:rFonts w:ascii="仿宋" w:hAnsi="仿宋" w:eastAsia="仿宋"/>
          <w:b/>
          <w:color w:val="auto"/>
          <w:sz w:val="72"/>
          <w:szCs w:val="72"/>
          <w:highlight w:val="none"/>
        </w:rPr>
      </w:pPr>
      <w:r>
        <w:rPr>
          <w:rFonts w:hint="eastAsia" w:ascii="仿宋" w:hAnsi="仿宋" w:eastAsia="仿宋"/>
          <w:b/>
          <w:color w:val="auto"/>
          <w:sz w:val="72"/>
          <w:szCs w:val="72"/>
          <w:highlight w:val="none"/>
        </w:rPr>
        <w:t>请</w:t>
      </w:r>
    </w:p>
    <w:p>
      <w:pPr>
        <w:spacing w:line="1000" w:lineRule="exact"/>
        <w:jc w:val="center"/>
        <w:rPr>
          <w:rFonts w:ascii="仿宋" w:hAnsi="仿宋" w:eastAsia="仿宋"/>
          <w:b/>
          <w:color w:val="auto"/>
          <w:sz w:val="72"/>
          <w:szCs w:val="72"/>
          <w:highlight w:val="none"/>
        </w:rPr>
      </w:pPr>
      <w:r>
        <w:rPr>
          <w:rFonts w:hint="eastAsia" w:ascii="仿宋" w:hAnsi="仿宋" w:eastAsia="仿宋"/>
          <w:b/>
          <w:color w:val="auto"/>
          <w:sz w:val="72"/>
          <w:szCs w:val="72"/>
          <w:highlight w:val="none"/>
        </w:rPr>
        <w:t>函</w:t>
      </w:r>
    </w:p>
    <w:p>
      <w:pPr>
        <w:spacing w:line="500" w:lineRule="exact"/>
        <w:ind w:firstLine="2168" w:firstLineChars="600"/>
        <w:rPr>
          <w:rFonts w:hint="default" w:ascii="仿宋" w:hAnsi="仿宋" w:eastAsia="仿宋"/>
          <w:b/>
          <w:color w:val="auto"/>
          <w:sz w:val="36"/>
          <w:szCs w:val="36"/>
          <w:highlight w:val="none"/>
          <w:lang w:val="en-US" w:eastAsia="zh-CN"/>
        </w:rPr>
      </w:pPr>
      <w:r>
        <w:rPr>
          <w:rFonts w:hint="eastAsia" w:ascii="仿宋" w:hAnsi="仿宋" w:eastAsia="仿宋"/>
          <w:b/>
          <w:color w:val="auto"/>
          <w:sz w:val="36"/>
          <w:szCs w:val="36"/>
          <w:highlight w:val="none"/>
        </w:rPr>
        <w:t>项目编号：</w:t>
      </w:r>
      <w:r>
        <w:rPr>
          <w:rFonts w:hint="eastAsia" w:ascii="仿宋" w:hAnsi="仿宋" w:eastAsia="仿宋"/>
          <w:b/>
          <w:color w:val="auto"/>
          <w:sz w:val="36"/>
          <w:szCs w:val="36"/>
          <w:highlight w:val="none"/>
          <w:lang w:val="en-US" w:eastAsia="zh-CN"/>
        </w:rPr>
        <w:t>A-XJ2021-29</w:t>
      </w:r>
    </w:p>
    <w:p>
      <w:pPr>
        <w:spacing w:line="500" w:lineRule="exact"/>
        <w:rPr>
          <w:rFonts w:hint="default" w:ascii="仿宋" w:hAnsi="仿宋" w:eastAsia="仿宋"/>
          <w:b/>
          <w:color w:val="auto"/>
          <w:sz w:val="36"/>
          <w:szCs w:val="36"/>
          <w:highlight w:val="none"/>
          <w:lang w:val="en-US"/>
        </w:rPr>
        <w:sectPr>
          <w:footerReference r:id="rId5" w:type="first"/>
          <w:headerReference r:id="rId3" w:type="default"/>
          <w:footerReference r:id="rId4" w:type="default"/>
          <w:pgSz w:w="11906" w:h="16838"/>
          <w:pgMar w:top="1440" w:right="1416" w:bottom="1440" w:left="1134" w:header="851" w:footer="227" w:gutter="0"/>
          <w:pgNumType w:fmt="decimal"/>
          <w:cols w:space="425" w:num="1"/>
          <w:titlePg/>
          <w:docGrid w:type="lines" w:linePitch="312" w:charSpace="0"/>
        </w:sectPr>
      </w:pPr>
      <w:bookmarkStart w:id="1" w:name="_Toc169332792"/>
      <w:bookmarkStart w:id="2" w:name="_Toc160880485"/>
      <w:bookmarkStart w:id="3" w:name="_Toc160880118"/>
      <w:r>
        <w:rPr>
          <w:rFonts w:hint="eastAsia" w:ascii="仿宋" w:hAnsi="仿宋" w:eastAsia="仿宋"/>
          <w:b/>
          <w:color w:val="auto"/>
          <w:sz w:val="36"/>
          <w:szCs w:val="36"/>
          <w:highlight w:val="none"/>
        </w:rPr>
        <w:t>项目名称</w:t>
      </w:r>
      <w:bookmarkEnd w:id="1"/>
      <w:bookmarkEnd w:id="2"/>
      <w:bookmarkEnd w:id="3"/>
      <w:r>
        <w:rPr>
          <w:rFonts w:hint="eastAsia" w:ascii="仿宋" w:hAnsi="仿宋" w:eastAsia="仿宋"/>
          <w:b/>
          <w:color w:val="auto"/>
          <w:sz w:val="36"/>
          <w:szCs w:val="36"/>
          <w:highlight w:val="none"/>
        </w:rPr>
        <w:t>：</w:t>
      </w:r>
      <w:bookmarkStart w:id="4" w:name="_Toc266868924"/>
      <w:bookmarkStart w:id="5" w:name="_Toc235438297"/>
      <w:bookmarkStart w:id="6" w:name="_Toc267059010"/>
      <w:bookmarkStart w:id="7" w:name="_Toc227058483"/>
      <w:bookmarkStart w:id="8" w:name="_Toc217891359"/>
      <w:bookmarkStart w:id="9" w:name="_Toc212454753"/>
      <w:bookmarkStart w:id="10" w:name="_Toc249325665"/>
      <w:bookmarkStart w:id="11" w:name="_Toc177985424"/>
      <w:bookmarkStart w:id="12" w:name="_Toc169332794"/>
      <w:bookmarkStart w:id="13" w:name="_Toc258401210"/>
      <w:bookmarkStart w:id="14" w:name="_Toc267059519"/>
      <w:bookmarkStart w:id="15" w:name="_Toc267059786"/>
      <w:bookmarkStart w:id="16" w:name="_Toc253066567"/>
      <w:bookmarkStart w:id="17" w:name="_Toc207014580"/>
      <w:bookmarkStart w:id="18" w:name="_Toc267060022"/>
      <w:bookmarkStart w:id="19" w:name="_Toc251613780"/>
      <w:bookmarkStart w:id="20" w:name="_Toc212456146"/>
      <w:bookmarkStart w:id="21" w:name="_Toc236021402"/>
      <w:bookmarkStart w:id="22" w:name="_Toc235437942"/>
      <w:bookmarkStart w:id="23" w:name="_Toc266868624"/>
      <w:bookmarkStart w:id="24" w:name="_Toc212526081"/>
      <w:bookmarkStart w:id="25" w:name="_Toc266870861"/>
      <w:bookmarkStart w:id="26" w:name="_Toc223146565"/>
      <w:bookmarkStart w:id="27" w:name="_Toc212530253"/>
      <w:bookmarkStart w:id="28" w:name="_Toc235438227"/>
      <w:bookmarkStart w:id="29" w:name="_Toc211937196"/>
      <w:bookmarkStart w:id="30" w:name="_Toc267060162"/>
      <w:bookmarkStart w:id="31" w:name="_Toc259692693"/>
      <w:bookmarkStart w:id="32" w:name="_Toc169332904"/>
      <w:bookmarkStart w:id="33" w:name="_Toc225669277"/>
      <w:bookmarkStart w:id="34" w:name="_Toc259692600"/>
      <w:bookmarkStart w:id="35" w:name="_Toc267059899"/>
      <w:bookmarkStart w:id="36" w:name="_Toc267060407"/>
      <w:bookmarkStart w:id="37" w:name="_Toc273178686"/>
      <w:bookmarkStart w:id="38" w:name="_Toc170798743"/>
      <w:bookmarkStart w:id="39" w:name="_Toc160880487"/>
      <w:bookmarkStart w:id="40" w:name="_Toc267059633"/>
      <w:bookmarkStart w:id="41" w:name="_Toc251586187"/>
      <w:bookmarkStart w:id="42" w:name="_Toc259520819"/>
      <w:bookmarkStart w:id="43" w:name="_Toc254790852"/>
      <w:bookmarkStart w:id="44" w:name="_Toc219800200"/>
      <w:bookmarkStart w:id="45" w:name="_Toc255974963"/>
      <w:bookmarkStart w:id="46" w:name="_Toc216241307"/>
      <w:bookmarkStart w:id="47" w:name="_Toc267059161"/>
      <w:bookmarkStart w:id="48" w:name="_Toc266870386"/>
      <w:r>
        <w:rPr>
          <w:rFonts w:hint="eastAsia" w:ascii="仿宋" w:hAnsi="仿宋" w:eastAsia="仿宋"/>
          <w:b/>
          <w:color w:val="auto"/>
          <w:sz w:val="40"/>
          <w:szCs w:val="40"/>
          <w:highlight w:val="none"/>
          <w:lang w:val="en-US" w:eastAsia="zh-CN"/>
        </w:rPr>
        <w:t>大礼堂舞台灯光音响设备采购及安装项目</w:t>
      </w:r>
    </w:p>
    <w:p>
      <w:pPr>
        <w:pStyle w:val="52"/>
        <w:spacing w:line="360" w:lineRule="auto"/>
        <w:jc w:val="center"/>
        <w:outlineLvl w:val="0"/>
        <w:rPr>
          <w:rFonts w:ascii="仿宋" w:hAnsi="仿宋" w:eastAsia="仿宋"/>
          <w:b/>
          <w:color w:val="auto"/>
          <w:sz w:val="44"/>
          <w:szCs w:val="44"/>
          <w:highlight w:val="none"/>
        </w:rPr>
      </w:pPr>
      <w:r>
        <w:rPr>
          <w:rFonts w:hint="eastAsia" w:ascii="仿宋" w:hAnsi="仿宋" w:eastAsia="仿宋"/>
          <w:b/>
          <w:color w:val="auto"/>
          <w:sz w:val="44"/>
          <w:szCs w:val="44"/>
          <w:highlight w:val="none"/>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highlight w:val="none"/>
        </w:rPr>
        <w:t>函</w:t>
      </w:r>
    </w:p>
    <w:p>
      <w:pPr>
        <w:spacing w:after="0" w:line="500" w:lineRule="exact"/>
        <w:ind w:firstLine="560" w:firstLineChars="200"/>
        <w:rPr>
          <w:rFonts w:ascii="仿宋" w:hAnsi="仿宋" w:eastAsia="仿宋"/>
          <w:color w:val="auto"/>
          <w:sz w:val="28"/>
          <w:szCs w:val="28"/>
          <w:highlight w:val="none"/>
        </w:rPr>
      </w:pPr>
      <w:bookmarkStart w:id="49" w:name="_Hlk10840310"/>
      <w:r>
        <w:rPr>
          <w:rFonts w:hint="eastAsia" w:ascii="仿宋" w:hAnsi="仿宋" w:eastAsia="仿宋"/>
          <w:color w:val="auto"/>
          <w:sz w:val="28"/>
          <w:szCs w:val="28"/>
          <w:highlight w:val="none"/>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w:t>
      </w:r>
    </w:p>
    <w:p>
      <w:pPr>
        <w:spacing w:after="0" w:line="500" w:lineRule="exact"/>
        <w:ind w:firstLine="425" w:firstLineChars="152"/>
        <w:jc w:val="left"/>
        <w:rPr>
          <w:rFonts w:ascii="仿宋" w:hAnsi="仿宋" w:eastAsia="仿宋"/>
          <w:color w:val="auto"/>
          <w:sz w:val="28"/>
          <w:szCs w:val="28"/>
          <w:highlight w:val="none"/>
        </w:rPr>
      </w:pPr>
      <w:r>
        <w:rPr>
          <w:rFonts w:hint="eastAsia" w:ascii="仿宋" w:hAnsi="仿宋" w:eastAsia="仿宋"/>
          <w:color w:val="auto"/>
          <w:sz w:val="28"/>
          <w:szCs w:val="28"/>
          <w:highlight w:val="none"/>
        </w:rPr>
        <w:t>一、项目说明</w:t>
      </w:r>
    </w:p>
    <w:p>
      <w:pPr>
        <w:widowControl w:val="0"/>
        <w:numPr>
          <w:ilvl w:val="1"/>
          <w:numId w:val="1"/>
        </w:numPr>
        <w:spacing w:after="0"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A-XJ2021-29</w:t>
      </w:r>
    </w:p>
    <w:p>
      <w:pPr>
        <w:widowControl w:val="0"/>
        <w:numPr>
          <w:ilvl w:val="1"/>
          <w:numId w:val="1"/>
        </w:numPr>
        <w:spacing w:after="0"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大礼堂舞台灯光音响设备采购及安装项目</w:t>
      </w:r>
    </w:p>
    <w:p>
      <w:pPr>
        <w:widowControl w:val="0"/>
        <w:numPr>
          <w:ilvl w:val="1"/>
          <w:numId w:val="1"/>
        </w:numPr>
        <w:spacing w:after="0"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参与人资格标准</w:t>
      </w:r>
    </w:p>
    <w:p>
      <w:pPr>
        <w:widowControl w:val="0"/>
        <w:numPr>
          <w:ilvl w:val="0"/>
          <w:numId w:val="0"/>
        </w:numPr>
        <w:spacing w:after="0" w:line="500" w:lineRule="exact"/>
        <w:ind w:left="440" w:left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（1）参与人应具有独立法人资格的生产厂商或授权代理商。</w:t>
      </w:r>
    </w:p>
    <w:p>
      <w:pPr>
        <w:widowControl w:val="0"/>
        <w:numPr>
          <w:ilvl w:val="0"/>
          <w:numId w:val="0"/>
        </w:numPr>
        <w:spacing w:after="0" w:line="500" w:lineRule="exact"/>
        <w:ind w:left="440" w:left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（2）参与人应具有提供设备和服务的资格及能力。在广州市范围有固定售后服务机构，具备相应的维护保养能力。</w:t>
      </w:r>
    </w:p>
    <w:p>
      <w:pPr>
        <w:widowControl w:val="0"/>
        <w:numPr>
          <w:ilvl w:val="0"/>
          <w:numId w:val="0"/>
        </w:numPr>
        <w:spacing w:after="0" w:line="500" w:lineRule="exact"/>
        <w:ind w:left="440" w:left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（3）参与人应遵守中国的有关法律、法规和规章的规定。</w:t>
      </w:r>
    </w:p>
    <w:p>
      <w:pPr>
        <w:widowControl w:val="0"/>
        <w:numPr>
          <w:ilvl w:val="0"/>
          <w:numId w:val="0"/>
        </w:numPr>
        <w:spacing w:after="0" w:line="500" w:lineRule="exact"/>
        <w:ind w:left="440" w:left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（4）参与人具有2年以上（包括2年）2个或以上同类项目销售和良好的售后服务应用成功案例,近三年未发生重大安全或质量事故。</w:t>
      </w:r>
    </w:p>
    <w:p>
      <w:pPr>
        <w:widowControl w:val="0"/>
        <w:numPr>
          <w:ilvl w:val="0"/>
          <w:numId w:val="0"/>
        </w:numPr>
        <w:spacing w:after="0" w:line="500" w:lineRule="exact"/>
        <w:ind w:left="440" w:left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（5）参与人须有良好的商业信誉和健全的财务制度。</w:t>
      </w:r>
    </w:p>
    <w:p>
      <w:pPr>
        <w:widowControl w:val="0"/>
        <w:numPr>
          <w:ilvl w:val="0"/>
          <w:numId w:val="0"/>
        </w:numPr>
        <w:spacing w:after="0" w:line="500" w:lineRule="exact"/>
        <w:ind w:left="440" w:left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（6）参与人有依法缴纳税金和社会保障资金的良好记录。</w:t>
      </w:r>
    </w:p>
    <w:p>
      <w:pPr>
        <w:widowControl w:val="0"/>
        <w:numPr>
          <w:ilvl w:val="1"/>
          <w:numId w:val="1"/>
        </w:numPr>
        <w:spacing w:after="0" w:line="500" w:lineRule="exac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报名方式</w:t>
      </w:r>
    </w:p>
    <w:p>
      <w:pPr>
        <w:widowControl w:val="0"/>
        <w:numPr>
          <w:ilvl w:val="0"/>
          <w:numId w:val="0"/>
        </w:numPr>
        <w:spacing w:after="0" w:line="500" w:lineRule="exact"/>
        <w:ind w:left="440" w:leftChars="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（1）参与</w:t>
      </w:r>
      <w:r>
        <w:rPr>
          <w:rFonts w:hint="eastAsia" w:ascii="仿宋" w:hAnsi="仿宋" w:eastAsia="仿宋"/>
          <w:color w:val="auto"/>
          <w:sz w:val="28"/>
          <w:szCs w:val="28"/>
          <w:highlight w:val="none"/>
        </w:rPr>
        <w:t>本项目需缴纳保证金</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万元，成交参与人保证金自动转为履约保</w:t>
      </w:r>
      <w:r>
        <w:rPr>
          <w:rFonts w:hint="eastAsia" w:ascii="仿宋" w:hAnsi="仿宋" w:eastAsia="仿宋"/>
          <w:color w:val="auto"/>
          <w:sz w:val="28"/>
          <w:szCs w:val="28"/>
          <w:highlight w:val="none"/>
          <w:lang w:val="en-US" w:eastAsia="zh-CN"/>
        </w:rPr>
        <w:t>证</w:t>
      </w:r>
      <w:r>
        <w:rPr>
          <w:rFonts w:hint="eastAsia" w:ascii="仿宋" w:hAnsi="仿宋" w:eastAsia="仿宋"/>
          <w:color w:val="auto"/>
          <w:sz w:val="28"/>
          <w:szCs w:val="28"/>
          <w:highlight w:val="none"/>
        </w:rPr>
        <w:t>金，履约保</w:t>
      </w:r>
      <w:r>
        <w:rPr>
          <w:rFonts w:hint="eastAsia" w:ascii="仿宋" w:hAnsi="仿宋" w:eastAsia="仿宋"/>
          <w:color w:val="auto"/>
          <w:sz w:val="28"/>
          <w:szCs w:val="28"/>
          <w:highlight w:val="none"/>
          <w:lang w:val="en-US" w:eastAsia="zh-CN"/>
        </w:rPr>
        <w:t>证</w:t>
      </w:r>
      <w:r>
        <w:rPr>
          <w:rFonts w:hint="eastAsia" w:ascii="仿宋" w:hAnsi="仿宋" w:eastAsia="仿宋"/>
          <w:color w:val="auto"/>
          <w:sz w:val="28"/>
          <w:szCs w:val="28"/>
          <w:highlight w:val="none"/>
        </w:rPr>
        <w:t>金在验收合格日算起</w:t>
      </w:r>
      <w:r>
        <w:rPr>
          <w:rFonts w:hint="eastAsia" w:ascii="仿宋" w:hAnsi="仿宋" w:eastAsia="仿宋"/>
          <w:color w:val="auto"/>
          <w:sz w:val="28"/>
          <w:szCs w:val="28"/>
          <w:highlight w:val="none"/>
          <w:lang w:val="en-US" w:eastAsia="zh-CN"/>
        </w:rPr>
        <w:t>20</w:t>
      </w:r>
      <w:r>
        <w:rPr>
          <w:rFonts w:hint="eastAsia" w:ascii="仿宋" w:hAnsi="仿宋" w:eastAsia="仿宋"/>
          <w:color w:val="auto"/>
          <w:sz w:val="28"/>
          <w:szCs w:val="28"/>
          <w:highlight w:val="none"/>
        </w:rPr>
        <w:t>个工作日内无息退还，未成交参与人的保证金，将在确定成交参与人成交通知书发出之后，</w:t>
      </w:r>
      <w:r>
        <w:rPr>
          <w:rFonts w:hint="eastAsia" w:ascii="仿宋" w:hAnsi="仿宋" w:eastAsia="仿宋"/>
          <w:color w:val="auto"/>
          <w:sz w:val="28"/>
          <w:szCs w:val="28"/>
          <w:highlight w:val="none"/>
          <w:lang w:val="en-US" w:eastAsia="zh-CN"/>
        </w:rPr>
        <w:t>20</w:t>
      </w:r>
      <w:r>
        <w:rPr>
          <w:rFonts w:hint="eastAsia" w:ascii="仿宋" w:hAnsi="仿宋" w:eastAsia="仿宋"/>
          <w:color w:val="auto"/>
          <w:sz w:val="28"/>
          <w:szCs w:val="28"/>
          <w:highlight w:val="none"/>
        </w:rPr>
        <w:t>个工作日办理原额无息退还手续。</w:t>
      </w:r>
      <w:r>
        <w:rPr>
          <w:rFonts w:hint="eastAsia" w:ascii="仿宋" w:hAnsi="仿宋" w:eastAsia="仿宋"/>
          <w:color w:val="auto"/>
          <w:sz w:val="28"/>
          <w:szCs w:val="28"/>
          <w:highlight w:val="none"/>
          <w:lang w:val="en-US" w:eastAsia="zh-CN"/>
        </w:rPr>
        <w:t>保证金</w:t>
      </w:r>
      <w:r>
        <w:rPr>
          <w:rFonts w:hint="eastAsia" w:ascii="仿宋" w:hAnsi="仿宋" w:eastAsia="仿宋"/>
          <w:color w:val="auto"/>
          <w:sz w:val="28"/>
          <w:szCs w:val="28"/>
          <w:highlight w:val="none"/>
        </w:rPr>
        <w:t>须采用转账形式（以参与投标公司的账户），并扫描转账单、营业执照及授权书发送</w:t>
      </w:r>
      <w:r>
        <w:rPr>
          <w:rFonts w:hint="eastAsia" w:ascii="仿宋" w:hAnsi="仿宋" w:eastAsia="仿宋"/>
          <w:color w:val="auto"/>
          <w:sz w:val="28"/>
          <w:szCs w:val="28"/>
          <w:highlight w:val="none"/>
          <w:lang w:eastAsia="zh-CN"/>
        </w:rPr>
        <w:t>至</w:t>
      </w:r>
      <w:r>
        <w:rPr>
          <w:rFonts w:hint="eastAsia" w:ascii="仿宋" w:hAnsi="仿宋" w:eastAsia="仿宋"/>
          <w:b/>
          <w:bCs/>
          <w:color w:val="auto"/>
          <w:sz w:val="28"/>
          <w:szCs w:val="28"/>
          <w:highlight w:val="none"/>
          <w:lang w:eastAsia="zh-CN"/>
        </w:rPr>
        <w:t>微信账号：</w:t>
      </w:r>
      <w:r>
        <w:rPr>
          <w:rFonts w:hint="eastAsia" w:ascii="仿宋" w:hAnsi="仿宋" w:eastAsia="仿宋"/>
          <w:b/>
          <w:bCs/>
          <w:color w:val="auto"/>
          <w:sz w:val="28"/>
          <w:szCs w:val="28"/>
          <w:highlight w:val="none"/>
          <w:lang w:val="en-US" w:eastAsia="zh-CN"/>
        </w:rPr>
        <w:t>13229405771</w:t>
      </w:r>
      <w:r>
        <w:rPr>
          <w:rFonts w:hint="eastAsia" w:ascii="仿宋" w:hAnsi="仿宋" w:eastAsia="仿宋"/>
          <w:b/>
          <w:bCs/>
          <w:color w:val="auto"/>
          <w:sz w:val="28"/>
          <w:szCs w:val="28"/>
          <w:highlight w:val="none"/>
          <w:lang w:eastAsia="zh-CN"/>
        </w:rPr>
        <w:t>（请备注公司名称+姓名+</w:t>
      </w:r>
      <w:r>
        <w:rPr>
          <w:rFonts w:hint="eastAsia" w:ascii="仿宋" w:hAnsi="仿宋" w:eastAsia="仿宋"/>
          <w:b/>
          <w:bCs/>
          <w:color w:val="auto"/>
          <w:sz w:val="28"/>
          <w:szCs w:val="28"/>
          <w:highlight w:val="none"/>
          <w:lang w:val="en-US" w:eastAsia="zh-CN"/>
        </w:rPr>
        <w:t>联系电话+</w:t>
      </w:r>
      <w:r>
        <w:rPr>
          <w:rFonts w:hint="eastAsia" w:ascii="仿宋" w:hAnsi="仿宋" w:eastAsia="仿宋"/>
          <w:b/>
          <w:bCs/>
          <w:color w:val="auto"/>
          <w:sz w:val="28"/>
          <w:szCs w:val="28"/>
          <w:highlight w:val="none"/>
          <w:lang w:eastAsia="zh-CN"/>
        </w:rPr>
        <w:t>项目名称）</w:t>
      </w:r>
      <w:r>
        <w:rPr>
          <w:rFonts w:hint="eastAsia" w:ascii="仿宋" w:hAnsi="仿宋" w:eastAsia="仿宋"/>
          <w:color w:val="auto"/>
          <w:sz w:val="28"/>
          <w:szCs w:val="28"/>
          <w:highlight w:val="none"/>
          <w:lang w:eastAsia="zh-CN"/>
        </w:rPr>
        <w:t>。</w:t>
      </w:r>
    </w:p>
    <w:p>
      <w:pPr>
        <w:widowControl w:val="0"/>
        <w:numPr>
          <w:ilvl w:val="0"/>
          <w:numId w:val="0"/>
        </w:numPr>
        <w:spacing w:after="0" w:line="500" w:lineRule="exact"/>
        <w:ind w:left="440" w:left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保证金汇款账号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    </w:t>
      </w:r>
    </w:p>
    <w:p>
      <w:pPr>
        <w:widowControl w:val="0"/>
        <w:numPr>
          <w:ilvl w:val="0"/>
          <w:numId w:val="0"/>
        </w:numPr>
        <w:spacing w:after="0" w:line="500" w:lineRule="exact"/>
        <w:ind w:left="440" w:left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开户名称：</w:t>
      </w:r>
      <w:r>
        <w:rPr>
          <w:rFonts w:hint="eastAsia" w:ascii="仿宋" w:hAnsi="仿宋" w:eastAsia="仿宋"/>
          <w:color w:val="auto"/>
          <w:sz w:val="28"/>
          <w:szCs w:val="28"/>
          <w:highlight w:val="none"/>
          <w:u w:val="single"/>
        </w:rPr>
        <w:t>广州应用科技学院</w:t>
      </w:r>
    </w:p>
    <w:p>
      <w:pPr>
        <w:widowControl w:val="0"/>
        <w:numPr>
          <w:ilvl w:val="0"/>
          <w:numId w:val="0"/>
        </w:numPr>
        <w:spacing w:after="0" w:line="500" w:lineRule="exact"/>
        <w:ind w:left="440" w:leftChars="0"/>
        <w:rPr>
          <w:rFonts w:hint="eastAsia" w:ascii="仿宋" w:hAnsi="仿宋" w:eastAsia="仿宋"/>
          <w:b w:val="0"/>
          <w:bCs w:val="0"/>
          <w:color w:val="auto"/>
          <w:sz w:val="28"/>
          <w:szCs w:val="28"/>
          <w:highlight w:val="none"/>
        </w:rPr>
      </w:pPr>
      <w:r>
        <w:rPr>
          <w:rFonts w:hint="eastAsia" w:ascii="仿宋" w:hAnsi="仿宋" w:eastAsia="仿宋"/>
          <w:color w:val="auto"/>
          <w:sz w:val="28"/>
          <w:szCs w:val="28"/>
          <w:highlight w:val="none"/>
        </w:rPr>
        <w:t>帐    号：</w:t>
      </w:r>
      <w:r>
        <w:rPr>
          <w:rFonts w:hint="eastAsia" w:ascii="仿宋" w:hAnsi="仿宋" w:eastAsia="仿宋"/>
          <w:b w:val="0"/>
          <w:bCs w:val="0"/>
          <w:color w:val="auto"/>
          <w:sz w:val="28"/>
          <w:szCs w:val="28"/>
          <w:highlight w:val="none"/>
          <w:u w:val="single"/>
        </w:rPr>
        <w:t>3662 7700 1000 0455 89</w:t>
      </w:r>
    </w:p>
    <w:p>
      <w:pPr>
        <w:widowControl w:val="0"/>
        <w:numPr>
          <w:ilvl w:val="0"/>
          <w:numId w:val="0"/>
        </w:numPr>
        <w:spacing w:after="0" w:line="500" w:lineRule="exact"/>
        <w:ind w:left="440" w:leftChars="0"/>
        <w:rPr>
          <w:rFonts w:hint="eastAsia" w:ascii="仿宋" w:hAnsi="仿宋" w:eastAsia="仿宋"/>
          <w:color w:val="auto"/>
          <w:sz w:val="28"/>
          <w:szCs w:val="28"/>
          <w:highlight w:val="none"/>
          <w:lang w:val="en-US" w:eastAsia="zh-CN"/>
        </w:rPr>
      </w:pPr>
      <w:r>
        <w:rPr>
          <w:rFonts w:hint="eastAsia" w:ascii="仿宋" w:hAnsi="仿宋" w:eastAsia="仿宋"/>
          <w:b w:val="0"/>
          <w:bCs w:val="0"/>
          <w:color w:val="auto"/>
          <w:sz w:val="28"/>
          <w:szCs w:val="28"/>
          <w:highlight w:val="none"/>
        </w:rPr>
        <w:t>开户银行：</w:t>
      </w:r>
      <w:r>
        <w:rPr>
          <w:rFonts w:hint="eastAsia" w:ascii="仿宋" w:hAnsi="仿宋" w:eastAsia="仿宋"/>
          <w:b w:val="0"/>
          <w:bCs w:val="0"/>
          <w:color w:val="auto"/>
          <w:sz w:val="28"/>
          <w:szCs w:val="28"/>
          <w:highlight w:val="none"/>
          <w:u w:val="single"/>
        </w:rPr>
        <w:t>广州农村商业银行荔城支行</w:t>
      </w:r>
    </w:p>
    <w:p>
      <w:pPr>
        <w:widowControl w:val="0"/>
        <w:numPr>
          <w:ilvl w:val="0"/>
          <w:numId w:val="0"/>
        </w:numPr>
        <w:spacing w:after="0" w:line="500" w:lineRule="exact"/>
        <w:ind w:left="440" w:leftChars="0"/>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lang w:val="en-US" w:eastAsia="zh-CN"/>
        </w:rPr>
        <w:t>（2）本项目如需要查看现场，请在</w:t>
      </w:r>
      <w:r>
        <w:rPr>
          <w:rFonts w:hint="eastAsia" w:ascii="仿宋" w:hAnsi="仿宋" w:eastAsia="仿宋"/>
          <w:b/>
          <w:bCs/>
          <w:color w:val="auto"/>
          <w:sz w:val="28"/>
          <w:szCs w:val="28"/>
          <w:highlight w:val="none"/>
          <w:lang w:val="en-US" w:eastAsia="zh-CN"/>
        </w:rPr>
        <w:t>6月22日上午10:00前</w:t>
      </w:r>
      <w:r>
        <w:rPr>
          <w:rFonts w:hint="eastAsia" w:ascii="仿宋" w:hAnsi="仿宋" w:eastAsia="仿宋"/>
          <w:color w:val="auto"/>
          <w:sz w:val="28"/>
          <w:szCs w:val="28"/>
          <w:highlight w:val="none"/>
          <w:lang w:val="en-US" w:eastAsia="zh-CN"/>
        </w:rPr>
        <w:t>到达</w:t>
      </w:r>
      <w:r>
        <w:rPr>
          <w:rFonts w:hint="eastAsia" w:ascii="仿宋" w:hAnsi="仿宋" w:eastAsia="仿宋"/>
          <w:color w:val="auto"/>
          <w:sz w:val="28"/>
          <w:szCs w:val="28"/>
          <w:highlight w:val="none"/>
          <w:u w:val="single"/>
          <w:lang w:val="en-US" w:eastAsia="zh-CN"/>
        </w:rPr>
        <w:t>：广东省肇庆市鼎湖区莲花镇广州应用科技学院肇庆校区。</w:t>
      </w:r>
    </w:p>
    <w:p>
      <w:pPr>
        <w:widowControl w:val="0"/>
        <w:numPr>
          <w:ilvl w:val="0"/>
          <w:numId w:val="0"/>
        </w:numPr>
        <w:spacing w:after="0" w:line="500" w:lineRule="exact"/>
        <w:ind w:left="440" w:leftChars="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联系人：</w:t>
      </w:r>
      <w:r>
        <w:rPr>
          <w:rFonts w:hint="eastAsia" w:ascii="仿宋" w:hAnsi="仿宋" w:eastAsia="仿宋"/>
          <w:color w:val="auto"/>
          <w:sz w:val="28"/>
          <w:szCs w:val="28"/>
          <w:highlight w:val="none"/>
          <w:u w:val="single"/>
          <w:lang w:val="en-US" w:eastAsia="zh-CN"/>
        </w:rPr>
        <w:t>陈君维</w:t>
      </w:r>
      <w:r>
        <w:rPr>
          <w:rFonts w:hint="eastAsia" w:ascii="仿宋" w:hAnsi="仿宋" w:eastAsia="仿宋"/>
          <w:color w:val="auto"/>
          <w:sz w:val="28"/>
          <w:szCs w:val="28"/>
          <w:highlight w:val="none"/>
          <w:lang w:val="en-US" w:eastAsia="zh-CN"/>
        </w:rPr>
        <w:t>；联系电话：</w:t>
      </w:r>
      <w:r>
        <w:rPr>
          <w:rFonts w:hint="eastAsia" w:ascii="仿宋" w:hAnsi="仿宋" w:eastAsia="仿宋"/>
          <w:color w:val="auto"/>
          <w:sz w:val="28"/>
          <w:szCs w:val="28"/>
          <w:highlight w:val="none"/>
          <w:u w:val="single"/>
          <w:lang w:val="en-US" w:eastAsia="zh-CN"/>
        </w:rPr>
        <w:t>13527063833</w:t>
      </w:r>
      <w:r>
        <w:rPr>
          <w:rFonts w:hint="eastAsia" w:ascii="仿宋" w:hAnsi="仿宋" w:eastAsia="仿宋"/>
          <w:color w:val="auto"/>
          <w:sz w:val="28"/>
          <w:szCs w:val="28"/>
          <w:highlight w:val="none"/>
          <w:lang w:val="en-US" w:eastAsia="zh-CN"/>
        </w:rPr>
        <w:t>。</w:t>
      </w:r>
    </w:p>
    <w:p>
      <w:pPr>
        <w:widowControl w:val="0"/>
        <w:numPr>
          <w:ilvl w:val="1"/>
          <w:numId w:val="1"/>
        </w:numPr>
        <w:spacing w:after="0" w:line="500" w:lineRule="exact"/>
        <w:rPr>
          <w:rFonts w:ascii="仿宋" w:hAnsi="仿宋" w:eastAsia="仿宋"/>
          <w:color w:val="auto"/>
          <w:sz w:val="28"/>
          <w:szCs w:val="28"/>
          <w:highlight w:val="none"/>
          <w:shd w:val="clear" w:color="auto" w:fill="FFFFFF"/>
        </w:rPr>
      </w:pPr>
      <w:r>
        <w:rPr>
          <w:rFonts w:hint="eastAsia" w:ascii="仿宋" w:hAnsi="仿宋" w:eastAsia="仿宋"/>
          <w:color w:val="auto"/>
          <w:sz w:val="28"/>
          <w:szCs w:val="28"/>
          <w:highlight w:val="none"/>
        </w:rPr>
        <w:t>报价响应文件递交</w:t>
      </w:r>
    </w:p>
    <w:p>
      <w:pPr>
        <w:widowControl w:val="0"/>
        <w:numPr>
          <w:ilvl w:val="0"/>
          <w:numId w:val="0"/>
        </w:numPr>
        <w:spacing w:after="0" w:line="500" w:lineRule="exact"/>
        <w:ind w:left="440" w:left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递交时间：</w:t>
      </w:r>
      <w:r>
        <w:rPr>
          <w:rFonts w:hint="eastAsia" w:ascii="仿宋" w:hAnsi="仿宋" w:eastAsia="仿宋"/>
          <w:b/>
          <w:bCs/>
          <w:color w:val="auto"/>
          <w:sz w:val="28"/>
          <w:szCs w:val="28"/>
          <w:highlight w:val="none"/>
          <w:u w:val="single"/>
          <w:lang w:val="en-US" w:eastAsia="zh-CN"/>
        </w:rPr>
        <w:t>2021年06月28日上午11:00前</w:t>
      </w:r>
      <w:r>
        <w:rPr>
          <w:rFonts w:hint="eastAsia" w:ascii="仿宋" w:hAnsi="仿宋" w:eastAsia="仿宋"/>
          <w:color w:val="auto"/>
          <w:sz w:val="28"/>
          <w:szCs w:val="28"/>
          <w:highlight w:val="none"/>
          <w:lang w:val="en-US" w:eastAsia="zh-CN"/>
        </w:rPr>
        <w:t>密封报价并现场递交。</w:t>
      </w:r>
    </w:p>
    <w:p>
      <w:pPr>
        <w:widowControl w:val="0"/>
        <w:numPr>
          <w:ilvl w:val="0"/>
          <w:numId w:val="0"/>
        </w:numPr>
        <w:spacing w:after="0" w:line="500" w:lineRule="exact"/>
        <w:ind w:left="440" w:left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递交地点：广州市增城区朱村街朱村大道东432号广州应用科技学院资产管理与采购处办公室。</w:t>
      </w:r>
    </w:p>
    <w:p>
      <w:pPr>
        <w:widowControl w:val="0"/>
        <w:numPr>
          <w:ilvl w:val="0"/>
          <w:numId w:val="0"/>
        </w:numPr>
        <w:spacing w:after="0" w:line="500" w:lineRule="exact"/>
        <w:ind w:left="440" w:left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联系人：袁艳莲；联系电话：13229405771。</w:t>
      </w:r>
    </w:p>
    <w:p>
      <w:pPr>
        <w:widowControl w:val="0"/>
        <w:numPr>
          <w:ilvl w:val="0"/>
          <w:numId w:val="0"/>
        </w:numPr>
        <w:spacing w:after="0" w:line="500" w:lineRule="exact"/>
        <w:ind w:left="440" w:leftChars="0"/>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本项目监督投诉部门：中教集团内控部；投诉电话： 0791-88102608；</w:t>
      </w:r>
    </w:p>
    <w:p>
      <w:pPr>
        <w:widowControl w:val="0"/>
        <w:numPr>
          <w:ilvl w:val="0"/>
          <w:numId w:val="0"/>
        </w:numPr>
        <w:spacing w:after="0" w:line="500" w:lineRule="exact"/>
        <w:ind w:left="440" w:leftChars="0"/>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投诉邮箱：Neikongbu@educationgroup.cn</w:t>
      </w:r>
    </w:p>
    <w:p>
      <w:pPr>
        <w:widowControl w:val="0"/>
        <w:numPr>
          <w:ilvl w:val="0"/>
          <w:numId w:val="0"/>
        </w:numPr>
        <w:spacing w:after="0" w:line="500" w:lineRule="exact"/>
        <w:ind w:left="440" w:leftChars="0"/>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本项目最终成交结果会在中教集团后勤贤知平台“中标信息公示”板块公示，网址：www.ceghqxz.com</w:t>
      </w:r>
    </w:p>
    <w:p>
      <w:pPr>
        <w:spacing w:after="0" w:line="500" w:lineRule="exact"/>
        <w:ind w:firstLine="425" w:firstLineChars="152"/>
        <w:jc w:val="left"/>
        <w:rPr>
          <w:rFonts w:ascii="仿宋" w:hAnsi="仿宋" w:eastAsia="仿宋"/>
          <w:color w:val="auto"/>
          <w:sz w:val="28"/>
          <w:szCs w:val="28"/>
          <w:highlight w:val="none"/>
        </w:rPr>
      </w:pPr>
      <w:r>
        <w:rPr>
          <w:rFonts w:hint="eastAsia" w:ascii="仿宋" w:hAnsi="仿宋" w:eastAsia="仿宋"/>
          <w:color w:val="auto"/>
          <w:sz w:val="28"/>
          <w:szCs w:val="28"/>
          <w:highlight w:val="none"/>
        </w:rPr>
        <w:t>二、参与人须知</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所有货物均以人民币报价；</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报价响应文件</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份，报价响应文件</w:t>
      </w:r>
      <w:r>
        <w:rPr>
          <w:rFonts w:ascii="仿宋" w:hAnsi="仿宋" w:eastAsia="仿宋"/>
          <w:color w:val="auto"/>
          <w:sz w:val="28"/>
          <w:szCs w:val="28"/>
          <w:highlight w:val="none"/>
        </w:rPr>
        <w:t>必须用A4幅面纸张打印</w:t>
      </w:r>
      <w:r>
        <w:rPr>
          <w:rFonts w:hint="eastAsia" w:ascii="仿宋" w:hAnsi="仿宋" w:eastAsia="仿宋"/>
          <w:color w:val="auto"/>
          <w:sz w:val="28"/>
          <w:szCs w:val="28"/>
          <w:highlight w:val="none"/>
        </w:rPr>
        <w:t>，须由参与人填写并加盖公章（正本</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份副本</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份）；</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 xml:space="preserve">. </w:t>
      </w:r>
      <w:r>
        <w:rPr>
          <w:rFonts w:hint="eastAsia" w:ascii="仿宋" w:hAnsi="仿宋" w:eastAsia="仿宋"/>
          <w:b/>
          <w:bCs/>
          <w:color w:val="auto"/>
          <w:sz w:val="28"/>
          <w:szCs w:val="28"/>
          <w:highlight w:val="none"/>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5.</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(1) 法定代表人为同一人的两个及两个以上法人；</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(2) 母公司、直接或间接持股50％及以上的被投资公司;</w:t>
      </w:r>
    </w:p>
    <w:p>
      <w:pPr>
        <w:widowControl w:val="0"/>
        <w:spacing w:after="0" w:line="500" w:lineRule="exact"/>
        <w:ind w:left="426"/>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三</w:t>
      </w:r>
      <w:r>
        <w:rPr>
          <w:rFonts w:hint="eastAsia" w:ascii="仿宋" w:hAnsi="仿宋" w:eastAsia="仿宋"/>
          <w:color w:val="auto"/>
          <w:sz w:val="28"/>
          <w:szCs w:val="28"/>
          <w:highlight w:val="none"/>
        </w:rPr>
        <w:t>、售后服务要求</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免费保修期；</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应急维修时间安排；</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培训计划及人员安排；</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维修地点、地址、联系电话及联系人员；</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5.</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维修服务收费标准；</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6.</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主要零配件及易耗品价格；</w:t>
      </w:r>
    </w:p>
    <w:p>
      <w:pPr>
        <w:widowControl w:val="0"/>
        <w:spacing w:after="0" w:line="500" w:lineRule="exact"/>
        <w:ind w:left="426"/>
        <w:jc w:val="left"/>
        <w:rPr>
          <w:rFonts w:ascii="仿宋" w:hAnsi="仿宋" w:eastAsia="仿宋"/>
          <w:color w:val="auto"/>
          <w:sz w:val="28"/>
          <w:szCs w:val="28"/>
          <w:highlight w:val="none"/>
        </w:rPr>
      </w:pPr>
      <w:r>
        <w:rPr>
          <w:rFonts w:hint="eastAsia" w:ascii="仿宋" w:hAnsi="仿宋" w:eastAsia="仿宋"/>
          <w:color w:val="auto"/>
          <w:sz w:val="28"/>
          <w:szCs w:val="28"/>
          <w:highlight w:val="none"/>
        </w:rPr>
        <w:t>7.</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制造商的技术支持；</w:t>
      </w:r>
    </w:p>
    <w:p>
      <w:pPr>
        <w:spacing w:after="0" w:line="500" w:lineRule="exact"/>
        <w:ind w:firstLine="425" w:firstLineChars="152"/>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、确定成交参与人标准及原则</w:t>
      </w:r>
    </w:p>
    <w:p>
      <w:pPr>
        <w:widowControl w:val="0"/>
        <w:spacing w:after="0" w:line="500" w:lineRule="exact"/>
        <w:ind w:left="426"/>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所投设备符合采购需求、质量和服务要求,经过磋商所报价格为合理价格的参与人为成交参与人，最低报价不作为成交的保证。</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其中评分价格占比45%，技术占比50%，商务占比5%</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pPr>
        <w:spacing w:after="0" w:line="500" w:lineRule="exact"/>
        <w:ind w:firstLine="425" w:firstLineChars="152"/>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六、付款方式</w:t>
      </w:r>
    </w:p>
    <w:p>
      <w:pPr>
        <w:widowControl w:val="0"/>
        <w:numPr>
          <w:ilvl w:val="0"/>
          <w:numId w:val="0"/>
        </w:numPr>
        <w:spacing w:after="0" w:line="500" w:lineRule="exact"/>
        <w:ind w:left="440" w:leftChars="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设备完成到货安装调试</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供方提供送货单经需方签字确认后</w:t>
      </w:r>
      <w:r>
        <w:rPr>
          <w:rFonts w:hint="eastAsia" w:ascii="仿宋" w:hAnsi="仿宋" w:eastAsia="仿宋"/>
          <w:color w:val="auto"/>
          <w:sz w:val="28"/>
          <w:szCs w:val="28"/>
          <w:highlight w:val="none"/>
        </w:rPr>
        <w:t>二十个工作日内支付合同金额50%</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质量验收合格</w:t>
      </w:r>
      <w:r>
        <w:rPr>
          <w:rFonts w:hint="eastAsia" w:ascii="仿宋" w:hAnsi="仿宋" w:eastAsia="仿宋"/>
          <w:color w:val="auto"/>
          <w:sz w:val="28"/>
          <w:szCs w:val="28"/>
          <w:highlight w:val="none"/>
          <w:lang w:val="en-US" w:eastAsia="zh-CN"/>
        </w:rPr>
        <w:t>签订验收表</w:t>
      </w:r>
      <w:r>
        <w:rPr>
          <w:rFonts w:hint="eastAsia" w:ascii="仿宋" w:hAnsi="仿宋" w:eastAsia="仿宋"/>
          <w:color w:val="auto"/>
          <w:sz w:val="28"/>
          <w:szCs w:val="28"/>
          <w:highlight w:val="none"/>
        </w:rPr>
        <w:t>后二十个工作日内支付合同金额45%，余款5%作为质保金验收合格日算起一年后经二次验收合格后退还。</w:t>
      </w:r>
    </w:p>
    <w:p>
      <w:pPr>
        <w:spacing w:after="0" w:line="500" w:lineRule="exact"/>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rPr>
          <w:rFonts w:ascii="仿宋" w:hAnsi="仿宋" w:eastAsia="仿宋"/>
          <w:color w:val="auto"/>
          <w:sz w:val="28"/>
          <w:szCs w:val="28"/>
          <w:highlight w:val="none"/>
        </w:rPr>
      </w:pPr>
      <w:r>
        <w:rPr>
          <w:rFonts w:ascii="仿宋" w:hAnsi="仿宋" w:eastAsia="仿宋"/>
          <w:color w:val="auto"/>
          <w:sz w:val="28"/>
          <w:szCs w:val="28"/>
          <w:highlight w:val="none"/>
        </w:rPr>
        <w:br w:type="page"/>
      </w:r>
    </w:p>
    <w:bookmarkEnd w:id="327"/>
    <w:p>
      <w:pPr>
        <w:pStyle w:val="52"/>
        <w:numPr>
          <w:ilvl w:val="0"/>
          <w:numId w:val="2"/>
        </w:numPr>
        <w:spacing w:line="360" w:lineRule="auto"/>
        <w:outlineLvl w:val="0"/>
        <w:rPr>
          <w:rFonts w:hint="eastAsia" w:ascii="仿宋" w:hAnsi="仿宋" w:eastAsia="仿宋"/>
          <w:b/>
          <w:color w:val="auto"/>
          <w:sz w:val="44"/>
          <w:szCs w:val="44"/>
          <w:highlight w:val="none"/>
        </w:rPr>
      </w:pPr>
      <w:r>
        <w:rPr>
          <w:rFonts w:hint="eastAsia" w:ascii="仿宋" w:hAnsi="仿宋" w:eastAsia="仿宋"/>
          <w:b/>
          <w:color w:val="auto"/>
          <w:sz w:val="44"/>
          <w:szCs w:val="44"/>
          <w:highlight w:val="none"/>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highlight w:val="none"/>
          <w:lang w:val="en-US" w:eastAsia="zh-CN"/>
        </w:rPr>
      </w:pPr>
      <w:r>
        <w:rPr>
          <w:rFonts w:hint="eastAsia" w:ascii="仿宋" w:hAnsi="仿宋" w:eastAsia="仿宋"/>
          <w:b/>
          <w:color w:val="auto"/>
          <w:sz w:val="24"/>
          <w:szCs w:val="24"/>
          <w:highlight w:val="none"/>
          <w:lang w:val="en-US" w:eastAsia="zh-CN"/>
        </w:rPr>
        <w:t>单位：元</w:t>
      </w:r>
    </w:p>
    <w:tbl>
      <w:tblPr>
        <w:tblStyle w:val="24"/>
        <w:tblW w:w="10212"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137"/>
        <w:gridCol w:w="1413"/>
        <w:gridCol w:w="3600"/>
        <w:gridCol w:w="725"/>
        <w:gridCol w:w="724"/>
        <w:gridCol w:w="888"/>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序号</w:t>
            </w:r>
          </w:p>
        </w:tc>
        <w:tc>
          <w:tcPr>
            <w:tcW w:w="113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货物名称</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品牌型号</w:t>
            </w:r>
          </w:p>
        </w:tc>
        <w:tc>
          <w:tcPr>
            <w:tcW w:w="36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val="0"/>
                <w:color w:val="auto"/>
                <w:sz w:val="28"/>
                <w:szCs w:val="28"/>
                <w:highlight w:val="none"/>
                <w:lang w:val="en-US" w:eastAsia="zh-CN" w:bidi="ar-SA"/>
              </w:rPr>
            </w:pPr>
            <w:r>
              <w:rPr>
                <w:rFonts w:hint="eastAsia" w:ascii="仿宋" w:hAnsi="仿宋" w:eastAsia="仿宋" w:cs="仿宋"/>
                <w:b/>
                <w:bCs w:val="0"/>
                <w:color w:val="auto"/>
                <w:sz w:val="28"/>
                <w:szCs w:val="28"/>
                <w:highlight w:val="none"/>
              </w:rPr>
              <w:t>技术要求</w:t>
            </w:r>
          </w:p>
        </w:tc>
        <w:tc>
          <w:tcPr>
            <w:tcW w:w="72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数量</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val="0"/>
                <w:color w:val="auto"/>
                <w:sz w:val="28"/>
                <w:szCs w:val="28"/>
                <w:highlight w:val="none"/>
                <w:lang w:val="en-US" w:eastAsia="zh-CN" w:bidi="ar-SA"/>
              </w:rPr>
            </w:pPr>
            <w:r>
              <w:rPr>
                <w:rFonts w:hint="eastAsia" w:ascii="仿宋" w:hAnsi="仿宋" w:eastAsia="仿宋" w:cs="仿宋"/>
                <w:b/>
                <w:bCs w:val="0"/>
                <w:color w:val="auto"/>
                <w:sz w:val="28"/>
                <w:szCs w:val="28"/>
                <w:highlight w:val="none"/>
                <w:lang w:val="en-US" w:eastAsia="zh-CN"/>
              </w:rPr>
              <w:t>单位</w:t>
            </w:r>
          </w:p>
        </w:tc>
        <w:tc>
          <w:tcPr>
            <w:tcW w:w="88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val="0"/>
                <w:color w:val="auto"/>
                <w:sz w:val="28"/>
                <w:szCs w:val="28"/>
                <w:highlight w:val="none"/>
                <w:lang w:val="en-US" w:eastAsia="zh-CN" w:bidi="ar-SA"/>
              </w:rPr>
            </w:pPr>
            <w:r>
              <w:rPr>
                <w:rFonts w:hint="eastAsia" w:ascii="仿宋" w:hAnsi="仿宋" w:eastAsia="仿宋" w:cs="仿宋"/>
                <w:b/>
                <w:bCs w:val="0"/>
                <w:color w:val="auto"/>
                <w:sz w:val="28"/>
                <w:szCs w:val="28"/>
                <w:highlight w:val="none"/>
                <w:lang w:val="en-US" w:eastAsia="zh-CN"/>
              </w:rPr>
              <w:t>单价</w:t>
            </w:r>
          </w:p>
        </w:tc>
        <w:tc>
          <w:tcPr>
            <w:tcW w:w="115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val="0"/>
                <w:color w:val="auto"/>
                <w:sz w:val="28"/>
                <w:szCs w:val="28"/>
                <w:highlight w:val="none"/>
                <w:lang w:val="en-US" w:eastAsia="zh-CN" w:bidi="ar-SA"/>
              </w:rPr>
            </w:pPr>
            <w:r>
              <w:rPr>
                <w:rFonts w:hint="eastAsia" w:ascii="仿宋" w:hAnsi="仿宋" w:eastAsia="仿宋" w:cs="仿宋"/>
                <w:b/>
                <w:bCs w:val="0"/>
                <w:color w:val="auto"/>
                <w:sz w:val="28"/>
                <w:szCs w:val="28"/>
                <w:highlight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212" w:type="dxa"/>
            <w:gridSpan w:val="8"/>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一、专业音响系统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左声道线阵列全频扬声器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国际一线品牌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频率响应(±3dB)：75Hz - 20kHz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覆盖范围 (水平 x 垂直)：100° x 15°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最大声压级：136dB/1m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功率放大器：峰值功率 1750W，连续功率 875W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扬声器单元 低音：2262FF，高音：3 x 2408J (1.5” 音圈)</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4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右声道线阵列全频扬声器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国际一线品牌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频率响应(±3dB)：75Hz - 20kHz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覆盖范围 (水平 x 垂直)：100° x 15°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最大声压级：136dB/1m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功率放大器：峰值功率 1750W，连续功率 875W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扬声器单元 低音：2262FF，高音：3 x 2408J (1.5” 音圈)</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4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左右声道下补声全频扬声器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国际一线品牌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有源15" 三分频全频扬声器系统，最大声压级138dB</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功放功率：1500W（2×750W）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频率范围（-10dB）：主扩：41-20kHz  返听：41-20kHz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频率响应（±3dB）：主扩：50-18.25kHz  返听：51.8-20kHz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覆盖角度：90°×50° nominal</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最大声压级：138dB峰值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输入接口：2个平衡XLR/大三芯，2个非平衡RCA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内置D类数字功放，dbx限幅电路</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wifi无线控制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尺寸：938×446×539mm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重量：34.9kg</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2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超低频扬声器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国际一线品牌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◆双18"反射式超低音音箱；</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◆采用JBL专利设计的差分驱动单元，体轻力大；</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◆箱体采用DuraFlexTM黑色喷漆处理，经久耐磨；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频率范围：30Hz-150Hz；频率响应：47Hz-120H</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阻抗：4Ω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分频点：80Hz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灵敏度：98dB SPL(1w/1m)；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最大声压级：135dB@1m(peak)；</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额定功率：1200W（连续）/2400W（节目）/4800W（峰值）；</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体积(高x宽x深)：574x1205x681mm；净重：62.1kg</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2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环绕全频扬声器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系统：单12寸两分频橡皮边低音单元音箱；</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扬声器单元:LF 1×12"（75mm音圈）橡皮边低音， HF 1×1.75"（44mm音圈）振膜压缩高音；</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频响范围：55z-18KHz（±3dB）；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灵敏度：96dB；额定功率:450W；阻抗:4Ω；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指向性（HXV）:80°(H)50°(V)恒定指向；</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最大声压级：122（连续）/127dB（峰值）；</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连接方式：1+1-， Neutrik Speakon；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尺寸:602×359×363(mm)；净重:22kg</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4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舞台返送扬声器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国际一线品牌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有源12" 双分频全频扬声器系统，最大声压级135dB</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功放功率：1500W（2×750W）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频率范围（-10dB）：主扩：52.6-20kHz  返听：50.3-20kHz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频率响应（±3dB）： 主扩：58.1-20kHz  返听：59-20kHz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覆盖角度：90°×50° nominal</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最大声压级：135 dB峰值</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输入接口：2个平衡XLR/大三芯，2个非平衡RCA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内置D类数字功放，dbx限幅电路</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wifi无线控制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尺寸：599×385×341mm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重量：19.4kg</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6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台唇全频扬声器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国际一线品牌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二分频全音域,8寸低音,175W/8欧,全天候,可涂颜色和白色</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6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7"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超低音箱功放</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国际一线品牌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Peakx Plus™ 限幅器通过全面的阈值、启动与释放控制，提供最极致的系统性能与保护</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增强型分谐波合成器有助于用户控制频率、增益与滤波器类型，方便进行系统级微调</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3 个用户定义的风扇模式（正常、早期与全速）控件，方便依据具体应用场景调配风扇性能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全新系统监控软件，通过界面即可轻松掌控交流线路电压与电源温度的动态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预设数量增加至 50；其中 49 个支持用户自定义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一体式铸铝手柄，坚固耐用，方便拿放</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锁定电源线夹，确保功放与电源线连接稳固紧密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更新版 HiQnet System Architect™ 控制软件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灵敏度：1.4Vrms</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信噪比：103dB</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总谐波失真：0.5% / 1%</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互调失真 ：= / &lt; 0.35%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频率响应：20Hz - 20kHz, +0 / -1dB</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串音： &gt;70dB 20Hz - 1kHz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阻尼因数： &gt; 500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AC 线路电压： 220 - 240VAC 50/60Hz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尺寸：89 mm x 482 mm x 411 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净重量： 10.9 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运输重量：13.6 kg</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台唇功放</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国际一线品牌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475W/8Ω,800W/4Ω,带处理器</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辅助功放</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输出功率：2×800W 8Ω或2×1350W 4Ω；频率响应：20Hz-25kHz±0.5dB；THD+N（Rated power,4Ω/KHz）%： 0.10%；信噪比：95dB；输入方式：3-pin XLR,平衡式；输入阻抗：20kΩ平衡/10kΩ非平衡；输出连接：Speakon Connectors（Neutrik）；电流要求：200-240V～50-60Hz；机身尺寸：482×470×133mm；重量：26kg</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数字调音台</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国际一线品牌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8个立体声效果处理器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25个100mm MIDAS PRO电动推子</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7寸TFT彩色“日光”显示屏</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通过USB 2.0可支持32x32通道的数字音频传输</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通过使用Mackie Control及Hui protocols控制协议，控制数字音频工作站</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通过无线网络，可由IPhone/IPad中的MIDAS Apps应用程序进行控制。自适应的开关式电源。长达3年的保修计划</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输入处理通道：32个话筒输入通道，8个辅助输入通道，8个效果返回</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输出处理通道：16个AUX通道，6个矩阵，LCR母线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内部效果器（立体声/单声道）：8/16</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场景文件(场景快照/场景快照列表)：500/100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储存点（包括处理参数和推子）：100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信号处理能力:40位的浮点处理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A/D转换器的动态范围：24-Bit，114dB（8通道，192kHz）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D/A转换器（立体声，192kHz）：24-Bit，120dB动态范围</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控制室监听音箱</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国际一线品牌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5"两分频全频有源监听音箱</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 路低音反射式双功放近场工作室监听音箱，配备 5“ 锥形低音单元和 1” 半球形高音单元。</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54Hz - 30kHz 频率响应。</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45W LF 以及 25W HF 双功放系统，高性能70W 功率放大能力。</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ROOM CONTROL（房间控制）和 HIGH TRIM（高频切除）响应控制器。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XLR 和 TRS phone 型输入口，可接受平衡和非平衡信号</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数字音频处理器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 96KHz采样频率，32-bit DSP处理器，24-bit A/D及D/A转换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每个输入通道可调噪声门，并且每个输入通道有两段全参数可调的动态均衡（DEQ），自动增益控制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输出通道还可独立控制压缩、限幅及自由选择输入信号通道，并能将某通道的所有参数复制到另外一个通道同时进行联动控制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2×24 LCD蓝色背光显示功能设置，5段LED显示输入/输出的精确数字电平表、哑音及编辑状态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单机可存储30组用户程序数据；其它数据可通过PC软件存储于其它存储介质上                                                                                                                                              主要技术参数：                                                                                                                                                                                                         输入阻抗：平衡20KΩ                                                                                                                                                                                          输出阻抗：平衡100Ω                                                                                                                                                                                             共模拟制比：&gt;78dB(1KHz)                                                                                                                                                                                     输入范围：≤+19dBu                                                                                                                                                                                             频率相应：19.7Hz-20KHz(±0.5dB)                                                                                                                                                                                        信噪比：&gt;108dB@1KHz 0dBu                                                                                                                                                                                                                                                                                                                                                                                     失真度：﹤0.002% OUTPUT=0dBu/1KHz                                                                                                                                                                             信道分离度：&gt;106dB（1KHz）                                                                                                                                                                                 功耗：≤25W                                                                                                                                                                                                       电源:AC110V/220V  50/60Hz                                                                                                                                                                                            产品尺寸（宽×深×高）:482mm×228mm×44mm                                                                                                                                                                        净重：4.25KG</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3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无线手持话筒</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国际一线品牌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频率范围：UHF500MHz~960MHz（可选）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调制方式：FM(PLL)</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接收形式：真正分集接收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灵  敏  度：3uV(52dB  S/N)</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发射机: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频率范围：UHF500MHz~960MHz（可选）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信  噪  比：≥110dB(A)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接收形式：真正分集接收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邻道干扰比：≥80dB</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3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无线头戴话筒</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频率范围：UHF500MHz~960MHz（可选）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调制方式：FM(PLL)</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接收形式：真正分集接收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灵  敏  度：3uV(52dB  S/N)</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发射机: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频率范围：UHF500MHz~960MHz（可选）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信  噪  比：≥110dB(A)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接收形式：真正分集接收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邻道干扰比：≥80dB</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3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无线领夹话筒</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频率范围：UHF500MHz~960MHz（可选）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调制方式：FM(PLL)</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接收形式：真正分集接收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灵  敏  度：3uV(52dB  S/N)</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发射机: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频率范围：UHF500MHz~960MHz（可选）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信  噪  比：≥110dB(A)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接收形式：真正分集接收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邻道干扰比：≥80dB</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2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有线鹅颈话筒</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静电型电容式话筒，单一指向性，频响70Hz-16kHz，灵敏度37dB，阻抗100欧，最大声压134dB SPL，三针卡农公插头；尺寸（音头直径X长度）约12mmx418mm</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3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有线鹅颈话筒底座</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原装底座</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3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天线放大器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有源指向性天线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阻抗50欧,射频频率范围470-900MHz,BNC接口</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尺寸(高X宽X深)316mmx359mmx36mm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重量317g, 产地墨西哥</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1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有源定向天线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频率范围：480～960MHz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增益： H:16±1dB   (蓝色显示)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 L: 6±1dB    (绿色显示)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阻抗：50Ω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接头：BNC</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功耗：0.066W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尺寸：360mm*336mm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防风防水</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2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片</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合唱话筒</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录音室必备录制人声、吉他、鼓和铜管乐的标准配置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指向性 心形指向</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灵敏度 25 mV /PA（-32 dBV）</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频率响应 20至20,000 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输出阻抗 200欧姆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负载阻抗 1000欧姆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等效噪音级 14分贝</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最大声压级 140/150分贝（K= 0,5％）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使用电压 9至52 V幻象电源符合IEC 61938</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重量 950g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其它 尺寸：宽53mm×长162mm；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连接：3针XLR</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6 </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42U机柜</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42U设备机柜包括机柜设备安装所需的配照明灯、散热风扇、电插座、过线槽、扎线排、空面板的辅助材料。</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18U机柜</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12U ABS机柜</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电源时序器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电源输入：～110V-220V/50-60Hz，最大输入电流：30A，电源输出：后面板每通道最大电流16A 前面板2个直通16A万用插座 ，前面板提供1路USB接口5V辅助电源输出，8路，2U高度，可逐级开关机 ，带232和滤波器</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音频线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RCEVJP</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3000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音箱线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E3CVVJ(2*2.5mm)</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600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音箱线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E3CVVJ(2*4mm)</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卡侬公</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定制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卡侬母</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定制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28</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6.3插头</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定制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莲花头</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定制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音箱头</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定制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综合插座</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国产定制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Style w:val="63"/>
                <w:rFonts w:hint="eastAsia" w:ascii="仿宋" w:hAnsi="仿宋" w:eastAsia="仿宋" w:cs="仿宋"/>
                <w:color w:val="auto"/>
                <w:sz w:val="21"/>
                <w:szCs w:val="21"/>
                <w:highlight w:val="none"/>
                <w:lang w:val="en-US" w:eastAsia="zh-CN" w:bidi="ar"/>
              </w:rPr>
              <w:t>3.5插头</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3.5插头</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电源线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3*4mm纯铜</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镀锌线槽100*100*1.0</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200*100*1.0</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100*100*1.2</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镀锌线管</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SC25</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金属控制台</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国标定制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张</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212"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bCs w:val="0"/>
                <w:color w:val="auto"/>
                <w:sz w:val="28"/>
                <w:szCs w:val="28"/>
                <w:highlight w:val="none"/>
                <w:lang w:val="en-US" w:eastAsia="zh-CN"/>
              </w:rPr>
              <w:t>二、舞台灯光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追光灯</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电源输入：AC110-240V,50/60HZ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额定功率：600W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光源：MSD440R20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灯泡寿命：1500小时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显色指数：Ra=80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控制模式：手动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均匀度：98%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光闸：开光，闭光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颜色盘：5色+白光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光圈大小任意可调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色温盘：3200K-7000K色温可调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变焦：5-10度线性放大调焦功能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防护等级：IP20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工作环境：-20°C~45°C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净重：9.5kg</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全彩LED PAR 灯</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电源输入：AC110V-240V 60/50Hz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总功率：200W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LED：3Wx60粒（RGBWA:R:12，G：12，B：12，W：12，A：12）</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灯珠寿命：＞50000小时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调光：0-100%线性调光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频闪：0-20Hz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出光角度：25°/45°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控制模式：DMX512/主从</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通道模式：10个通道</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防护等级：IP20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工作环境：-20℃~45℃</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97</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LED成像灯（变焦）</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额定功率:250W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光源:COB LED模组</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光通量:18500 LM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控制模式:DMX512 或手动调光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通道模式:1CH调光(0-100%)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调光:16 bit线性调光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刷频:31.25KHE</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色彩还原:Ra≥96  R9≥95  TLCI≥95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色温:3100K 或 5600K</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透镜:5度,10度,14度,19度,26度,36度,15-30度,</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25-50度,菲涅尔聚光,非球面聚光镜头可选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防护等级:IP20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灯具尺寸：66.5cmx34cmx48cm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色彩还原度高，3100K LED模组光感近似钨丝灯的暖白光，Ra≥96  R9≥95  TLCI≥95,色差小，色彩还原度高，满足专业摄影摄像要求；</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发光效率高，光通量18500LM；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照度高，光斑均匀，边缘清晰；</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色温正，3100K或5600K；</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可兼容5度、10度、14度、19度、26度、36度、15-30度、25-50度、菲涅耳聚光、非球面聚光镜头；</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控制模式可选，DMX512或和手动调光两种；</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通过3芯XLR连接器进行DMX512输入和串接；</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16 bit高精度线性调光技术，31.25KHE刷新频率，提供0-100%的平稳调光效果，使调光过程中色移的情况减至最低水平，实现调光平滑。</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350三合一电脑光束灯</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光学系统</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变    焦：光束3°~15°，图案3°~40°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图案系统：</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旋转图案：1个旋转图案盘有11个可选图案片，可变速抖动及双向旋转，图案旋转具备16Bit精度微调</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固定图案：1个固定图案盘有8个固定图案，可变速抖动及双向旋转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颜色系统：</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1个颜色盘有11种色片，具备半色及线性调节功能及双向彩虹效果</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电气参数：</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输入电压：AC 200V-240V   50/60Hz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最大功率：600W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信号接口：3芯XLR 输入/输出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软件与控制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控制通道：19/16/22</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传输协议：DMX512   RDM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显示方式：LCD液晶显示屏</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效果</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水平/垂直：水平扫描角度540°,垂直扫描角度270°,自动回位纠正及16Bit精度微调功能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频    闪：每秒1-20Hz快速频闪，具备脉冲频闪，同步异步频闪效果</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调    光：0-100%机械线性调光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棱    镜：2个独立旋转棱镜，可产生双圈棱镜效果</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雾    化：1个独立雾化片</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物理/安装特性</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重    量：24Kg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防护等级：IP20</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LED嵌入式三基色柔光灯</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技术参数</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电压：AC100-240V 50-60HZ                                                                                                                                                       保险丝：1.5A                                                                                                                                                                                                                                                                                                                                                                                                                                                                                                                               功率：≥200W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色温：3000K-5600K（可调）                                                                                                                     高流明：24000LM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灯珠：暖白光218颗，正白光218 颗，                                                                                                                                                                                                                                                                                                                                                       显色指数：Ra≥90                                                                                                                                                                                                                                                                                                                                                                                                                             通道：4CH                                                                                                                                                                                                                                                                                                                                                                           通信协议：USITTDMX-512</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调光：0-100%线性调光平滑无闪烁                                                                                                                                                                                                                                                                                                                                                                                                      灯体尺寸：750 *500*300mm                                                                                                                                                                                                                                                                                                                                                                                                             LED嵌入式+可调色温+手动调角度开孔尺寸： 长56宽39  产品重量：6.5KG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功能：主/从机自动识别检测，电子合成无限变换色温。                                                                                                                                                                                                                                                                                                                                                                                                                             ★附加功能：无线信号传输（选配）                                                                                                                                                                                                                                                                                                                                                                                                          ★附加功能：RDM双向控制技术（选配）</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★附加功能：断电设置.内置连续循环充电式电池,可无需连接电源即可操作LCD界面设置功能数据（选配）                                                                                                                                                                                                                                                                                                                                                                                      ★智能散热：采用风向引流与温度智能监控技术，根据灯具不同位置的温度高低，自动驱动灯具里面不同部位的冷却风扇，对灯具部件进行有效的冷却                                                                                                                                                                                                                                                                                                                                                                                                                                                                                                            </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LED三基色柔光灯</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技术参数</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电压：AC100-240V 50-60HZ                                                                                                                                                       保险丝：1.5A                                                                                                                                                                                                                                                                                                                                                                                                                                                                                                                               功率：≥200W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色温：3000K-5600K（可调）                                                                                                                     高流明：24000LM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灯珠：暖白光218颗，正白光218 颗，                                                                                                                                                                                                                                                                                                                                                       显色指数：Ra≥90                                                                                                                                                                                                                                                                                                                                                                                                                             通道：4CH                                                                                                                                                                                                                                                                                                                                                                           通信协议：USITTDMX-512</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调光：0-100%线性调光平滑无闪烁                                                                                                                                                                                                                                                                                                                                                                                                      灯体尺寸：750 *500*300mm                                                                                                                                                                                                                                                                                                                                                                                                             LED嵌入式+可调色温+手动调角度开孔尺寸： 长56宽39  产品重量：6.5KG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功能：主/从机自动识别检测，电子合成无限变换色温。                                                                                                                                                                                                                                                                                                                                                                                                                             ★附加功能：无线信号传输（选配）                                                                                                                                                                                                                                                                                                                                                                                                          ★附加功能：RDM双向控制技术（选配）</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★附加功能：断电设置.内置连续循环充电式电池,可无需连接电源即可操作LCD界面设置功能数据（选配）                                                                                                                                                                                                                                                                                                                                                                                      ★智能散热：采用风向引流与温度智能监控技术，根据灯具不同位置的温度高低，自动驱动灯具里面不同部位的冷却风扇，对灯具部件进行有效的冷却                                                                                                                                                                                                                                                                                                                                                                                                                                                                                                                                                                              </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效果烟机</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电压：AC110V~230V 60Hz±10％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功率：1500W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热机时间：12分钟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油桶容量2公升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烟雾覆盖：20000cu.ft/min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控制模式：遥控、线控、定时定量控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制（选配），DMX512控制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尺寸：455×350×265mm  </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灯光控制台</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 xml:space="preserve">不少于一个内置15.6"高亮电容触摸屏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可扩展不少于一个触摸屏或两个扩展附台，所有触摸屏和显示器的显示窗口内容可自由设定</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不少于4个DMX物理输出口</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不少于10个可翻页重放推杆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不少于10个不可翻页的重放推杆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不少于10个自定义宏功能执行键，支持虚拟宏功能，数量无限</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具有中文操作菜单，可选择操作菜单语言不少于7种</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支持CITP协议视频素材预览；</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支持涂鸦式命名方式，显示更为直观便捷</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可通过效果编辑器或视频功能控制LED矩阵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按键带有LED功能指示灯静音按键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支持SMPTE（LTC）/MIDI</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控台内置可视化软件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不少于2个ETHERCON接口，9个USB接口</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信号放大器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一入八出DMX512信号隔离分配放大器，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输入与输出每路独立光电隔离，</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隔离电压1000V.</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可根据需要选择安装吊挂件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总功率：10W</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电源直通箱</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供电：三相五线制 AC380V±10％，频率 50Hz±5％.</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★额定功率：12路×3KW;  最大可达4KW,可适用于任何负载.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★控制信号：数字双DMX-512(1990) ★内置多种跑灯场景</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·过载与短路双重保护高分断空气开关.</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·A.B.C三相工作指示灯. 设两脚和三脚万能备用插座方便使用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·外形尺寸(mm):L515×W485×H133. 单机重量:12KG.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·使用前请先接好所需要的 供电设备.本产品可直接接入舞台4KW常规灯具12只 或4KW电脑摇头灯 12只；12路单独控制；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·再接入AC380V三相电，注意火线（A.B.C） 与零线（N）不可接反；接地线(PE)要良好接地；此时面板指示灯亮起.空气开关打到ON状态；这时接入的灯具应亮起</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电源箱机柜</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24U,600*800</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金属桥架</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100*100mm*1.0</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金属桥架</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100*200mm*1.2</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镀锌线管</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SC25</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主电源电缆</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低烟无卤阻燃灯光电缆36mm</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阻燃电线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低烟无卤阻燃灯光电缆3x4mm</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2000</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DMX512信号控制线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3芯信号线</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2000</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16A防水插座</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16A防水插座</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接插件、其他辅材</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国标接插件、机柜底座等辅件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批</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转接箱</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3*4转为扁平电线</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14</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扁平电线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4mm9芯+3信号线</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70</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212"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bCs/>
                <w:i w:val="0"/>
                <w:iCs w:val="0"/>
                <w:color w:val="auto"/>
                <w:kern w:val="0"/>
                <w:sz w:val="28"/>
                <w:szCs w:val="28"/>
                <w:highlight w:val="none"/>
                <w:u w:val="none"/>
                <w:lang w:val="en-US" w:eastAsia="zh-CN" w:bidi="ar"/>
              </w:rPr>
              <w:t>三、舞台机械系统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变频调速拉幕机</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尺寸：轨道长26m，对开行程：13m（单边行程）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类型：杆体安装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电机功率：1.1KW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拉幕机牵引力：800N</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行程：单边对开13m；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导轨载荷：≤600kg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对开速度：0.01~1.0m/s</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运行噪音：≤45dB(A)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重复定位精度：对开：≤±5mm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驱动方式：电动或者电动、手动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驱动类型：变频调速拉幕机装置。使用三相交流异步电机</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电动对开拉幕机</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尺寸：轨道长23m（以现场尺寸为准）</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类型：悬挂设备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电机功率：0.75KW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拉幕机牵引力：600N</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行程：单边对开10m；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导轨载荷：≤600kg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对开速度：0.40m/s</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运行噪音：≤45dB(A)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驱动方式：电动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驱动类型：匀速拉幕机装置。使用三相交流异步电机</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电动幕布轨道</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轨道尺寸：23m，单边对开13m， 三角形稳定结构轨道，钢缆与框架之间通过鸡心扣连接，水平限位开关保护。</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电动布景吊杆机</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·载荷：800kg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·功率：4KW  P4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·减速箱型号：K系列</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·传动方式：斜齿轮-伞齿轮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·运行速度：0.2m/s</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·电源：380V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·吊点：6个吊点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·升降行程：18m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·定位精度：≤5mm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·运行噪音：≤50dB（A）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·制动装置：失电制动器（双制动）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·吊杆机卷绳形式：单层缠绕</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·安全措施：上下限位保护、防冲顶保护防乱绳保护、防松绳保护。</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电动灯光吊杆机</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·载荷：1000kg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·功率：5.5KW  P4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·减速箱型号：K系列</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·传动方式：斜齿轮-伞齿轮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·运行速度：0.2m/s</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·电源：380V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·吊点：6个吊点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·升降行程：18m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·定位精度：≤5mm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·运行噪音：≤50dB（A）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·制动装置：失电制动器（双制动）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·吊杆机卷绳形式：单层缠绕</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·安全措施：上下限位保护、防冲顶保护防乱绳保护、防松绳保护。</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电动侧光吊杆机</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·载荷：600kg</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·功率：2.2KW  P4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·减速箱型号：K系列</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·传动方式：伞齿斜齿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·运行速度：0.2m/s</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·电源：380V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·吊点：3个吊点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·升降行程：18m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·定位精度：≤5mm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·运行噪音：≤50dB（A）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·制动装置：刹车制动器（双制动）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·吊杆机卷绳形式：单层缠绕</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·安全措施：上下限位保护、防冲顶保护防乱绳保护、防松绳保护。</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会标、侧边幕布吊杆杆体</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￠50双管桁架结构，分上、下两层，中间采用40*20方管连接，防锈底漆、黑色面漆；</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根</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对开幕吊杆杆体</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￠50双管桁架结构，分上、下两层，中间采用40*20方管连接，防锈底漆、黑色面漆；</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根</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布景吊杆杆体</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￠50双管桁架结构，分上、下两层，中间采用40*20方管连接，防锈底漆、黑色面漆；</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根</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电动灯光吊杆杆体</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￠50双管桁架结构，分上、下两层，中间采用40*20方管连接，防锈底漆、黑色面漆；</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根</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电动侧光吊杆杆体</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￠50双管桁架结构，分上、下两层，中间采用40*20方管连接，防锈底漆、黑色面漆；另外含4个灯光吊片</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根</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收线框</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长1.6米，宽0.3米，高0.6米，舞台专用排缆收线框，扁铁焊接而成。</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航空钢丝绳</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国标5MM航空钢丝绳，江阴法尔胜公司生产，国际一流品牌，质量更有保证</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3000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m</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6槽拐角滑轮</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φ150滑轮，（每套：φ150滑轮、底座、轴等组成，螺栓紧固安装，方便位置可调。哑光黑色烤漆，配备：8.8级紧固件）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3槽拐角滑轮</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φ150滑轮，（每套：φ150滑轮、底座、轴等组成，螺栓紧固安装，方便位置可调。哑光黑色烤漆，配备：8.8级紧固件）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6槽滑轮</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φ150滑轮，（每套：φ150滑轮、底座、轴等组成，螺栓紧固安装，方便位置可调。哑光黑色烤漆，配备：8.8级紧固件）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5槽滑轮</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φ150滑轮，（每套：φ150滑轮、底座、轴等组成，螺栓紧固安装，方便位置可调。哑光黑色烤漆，配备：8.8级紧固件）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4槽滑轮</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φ150滑轮，（每套：φ150滑轮、底座、轴等组成，螺栓紧固安装，方便位置可调。哑光黑色烤漆，配备：8.8级紧固件）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3槽滑轮</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φ150滑轮，（每套：φ150滑轮、底座、轴等组成，螺栓紧固安装，方便位置可调。哑光黑色烤漆，配备：8.8级紧固件）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2槽滑轮</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φ150滑轮，（每套：φ150滑轮、底座、轴等组成，螺栓紧固安装，方便位置可调。哑光黑色烤漆，配备：8.8级紧固件）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1槽滑轮</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φ150滑轮，（每套：φ150滑轮、底座、轴等组成，螺栓紧固安装，方便位置可调。哑光黑色烤漆，配备：8.8级紧固件）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断火限位器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符合现场安装用的防断火开关</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台上控制系统</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实现自动控制、2路对开、10路升降，1路备用。每路带升（开）、降（闭）、停按钮。控制面板上带电锁、急停、复位、上下限位指示灯、冲顶保护。分体控制面板与主控制柜使用防水插头连接。</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路</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电机线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RVV 4*2.5</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控制线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RVV 3*0.5</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主电源线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YJV 4*10</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吊杆吊点抱箍</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专用滑轮固定件</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66</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28</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吊杆吊点调节花篮螺丝</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镀锌花篮螺丝，双头闭环式结构，与钢丝绳链接,调整钢丝绳松紧度，可快速调节杆体平衡。每个吊点配套1个</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66</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号码牌</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亚克力板，标有杆体承载及序号</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机械附件</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含金属桥架、吊杆杆体管堵、五金配件、焊条油漆、切割片、打磨片、钢丝绳卡子、高强度螺丝等</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212"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bCs/>
                <w:i w:val="0"/>
                <w:iCs w:val="0"/>
                <w:color w:val="auto"/>
                <w:kern w:val="0"/>
                <w:sz w:val="28"/>
                <w:szCs w:val="28"/>
                <w:highlight w:val="none"/>
                <w:u w:val="none"/>
                <w:lang w:val="en-US" w:eastAsia="zh-CN" w:bidi="ar"/>
              </w:rPr>
              <w:t>四、舞台幕布系统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前檐幕</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金丝绒,B1级防火阻燃处理：23m×1.5m×3×1（宽×高×折比×数量），颜色：提供色卡，甲方自选，防火等级：B1级</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103.5</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前檐幕衬里</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金丝绒,B1级防火阻燃处理，规格：23m×1.5m×3×1（宽×高×折比×数量），颜色：提供色卡，甲方自选，防火等级：B1级</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27</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大幕</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金丝绒,B1级防火阻燃处理，规格：13.5m×5.7m×3×2（宽×高×折比×数量），颜色：提供色卡，甲方自选，防火等级：B1级</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461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大幕衬里</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金丝绒,B1级防火阻燃处理，规格：13.5m×5.7m×3×1（宽×高×折比×数量），颜色：提供色卡，甲方自选，防火等级：B1级</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会议幕</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金丝绒,B1级防火阻燃处理，规格：13.3m×5.7m×3×2（宽×高×折比×数量），颜色：提供色卡，甲方自选，防火等级：B1级</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461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侧条幕</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金丝绒,B1级防火阻燃处理，规格：2.5m×6.5m×3×4（宽×高×折比×数量），颜色：提供色卡，甲方自选，防火等级：B1级</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195</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横条幕</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金丝绒,B1级防火阻燃处理，规格：27m×1.5m×3×2（宽×高×折比×数量），颜色：提供色卡，甲方自选，防火等级：B1级</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243</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12"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bCs/>
                <w:i w:val="0"/>
                <w:iCs w:val="0"/>
                <w:color w:val="auto"/>
                <w:kern w:val="0"/>
                <w:sz w:val="28"/>
                <w:szCs w:val="28"/>
                <w:highlight w:val="none"/>
                <w:u w:val="none"/>
                <w:lang w:val="en-US" w:eastAsia="zh-CN" w:bidi="ar"/>
              </w:rPr>
              <w:t>五、舞台钢结构系统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舞台葡萄架</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现场制作</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含滑轮梁、承重梁、吊杆机座梁等。滑轮梁：6道，H型钢制作；组合承重梁：4套，组合钢梁由14#槽钢、12#槽钢拼装制作；化学锚栓：1项；连接吊筋：1项；辅料：1项；预埋钢板1项等</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项</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面光吊杆</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现场制作</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固定式，钢构制作，50圆管制作</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钢结构爬梯</w:t>
            </w:r>
          </w:p>
        </w:tc>
        <w:tc>
          <w:tcPr>
            <w:tcW w:w="141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现场制作</w:t>
            </w:r>
          </w:p>
        </w:tc>
        <w:tc>
          <w:tcPr>
            <w:tcW w:w="360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rPr>
                <w:rStyle w:val="61"/>
                <w:rFonts w:hint="eastAsia" w:ascii="仿宋" w:hAnsi="仿宋" w:eastAsia="仿宋" w:cs="仿宋"/>
                <w:color w:val="auto"/>
                <w:sz w:val="21"/>
                <w:szCs w:val="21"/>
                <w:highlight w:val="none"/>
                <w:lang w:val="en-US" w:eastAsia="zh-CN" w:bidi="ar"/>
              </w:rPr>
            </w:pP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项</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212"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bCs/>
                <w:i w:val="0"/>
                <w:iCs w:val="0"/>
                <w:color w:val="auto"/>
                <w:kern w:val="0"/>
                <w:sz w:val="28"/>
                <w:szCs w:val="28"/>
                <w:highlight w:val="none"/>
                <w:u w:val="none"/>
                <w:lang w:val="en-US" w:eastAsia="zh-CN" w:bidi="ar"/>
              </w:rPr>
              <w:t>六、中控高清矩阵系统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高清无缝混插矩阵主机箱</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一款专门为音视频信号的切换而设计的高性能智能矩阵开关设备，可兼容不同信号类型输入/输出信号卡；插入搭配的信号卡包括：HDMI、DVI、VGA、SDI、AV 无缝输入/输出信号卡，结合不同信号卡功能可以解决综合视听的问题。支持多个信号输入输出交叉矩阵切换，提供独立的视频信号和音频输入、输出端子；每路视频信号、音视频信号单独传输、单独切换，使信号传输衰减降至最低，图像和声音信号能高保真输出，可以与输入、输出信号卡任意搭配。</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本产品带有断电现场保护、音视频同步或单独切换等功能，并具备 RS232 通讯接口和 TCP/IP（可选功能）控制，可方便与个人电脑、遥控系统或各种远端控制设备配合使用。它主要应用于广播电视工程、多媒体会议厅、大屏幕显示工程、电视教学、指挥控制中心等场合。</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内置无缝切换卡，切换无黑屏，无闪屏，无需特效过渡。无缝输出支持 VGA/SDI/HDMI/DVI/AV信号格式，HDMI 完美支持隔行和逐行扫描输出。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插卡式箱体结构：输入卡支持：AV、VGA、DVI、HDMI、SDI；输出卡支持：AV、VGA、DVI、HDMI、SDI，卡片式结构，极其容易扩展或更换。</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视频处理能力：完全支持无缝切换；全彩色处理，无任何色彩丢失；支持帧率适配，内建图像缩放引擎，输入缩放到输出的任意分辨率转换。</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音频处理能力：AV、VGA 等输入支持模拟音频输入混合；DVI、HDMI、SDI 输入支持模拟音频/数字音频选择混合；混合后的信号经切换后，支持内嵌音频输出（HDMI、SDI、DVI）</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支持各种输入分辨率：800*600、1024*768、1280*720、1280*768、1280*800、1280*1024、1360*768、1366*768、1440*900、1400*1050、1600*900、1680*1050、1920*1080@60Hz、1920*1080@50Hz、1920*1080@30Hz、1920*1080@25Hz、1920*1200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支持切换状态和记忆功能：远程网络控制矩阵切换、RS232 切换、面板切换功能；具有掉电记忆功能和现场记忆功能：带有断电现场保护功能；并可保存和调用 10 个切换场景。</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低功耗设计：持续老化 7*24 小时无异常。</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支持协议：支持3D、HDMI1.4（部分）、HDCP、与及 DVI 1.0 协议。支持高色深，以及高达 3.25Gbps 速率； 支持一路 RJ45 网络口,一路 RS-232 通讯接口。</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数字高清音视频输入卡</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支持HDMI1.3标准，兼容DVI信号；</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最高分辨率支持1080p@60Hz；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输入信号卡具有字符叠加功能，可通过指令更改字符相关属性，相关指令详见指令表；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输入信号卡与其他输出分辨率不可调信号卡配合使用时，也可通过指令调节每路输入对应输出分辨率：1360x768、1024x768、1280x720、1280x800、1920x1080、1920x1200、1600x1200；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支持音视频HDMI内置同传与视频HDMI传输；</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触摸屏选择输入音频为HDMI内置音频/外接模拟音频，默认为HDMI内置音频，外接输出音频凤凰端子输出为选择的音源，且具有断电记忆功能；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可通过触摸屏设置输出模拟音频内置/外接，默认内置；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HDMI无缝输出信号卡与其他输入信号卡进行无缝切换时，切换通道连接的输入信号源分辨率需保持一致。</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张</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数字高清音视频输出卡</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支持HDMI1.3标准，兼容DVI信号；</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最高分辨率支持1080p@60Hz；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出信号卡的每路输出分辨率可调：720x480i@60Hz、720x576i@50Hz、720x480p@60Hz、720x576p@50Hz、1280x720p@60Hz、1280x720p@59Hz、1280x720p@50Hz、1280x720p@30Hz、1280x720p@25Hz、1280x720p@24Hz、1920x1080i@60Hz、1920x1080i@59Hz、1920x1080i@50Hz、1920x1080p@60Hz、1920x1080p@59Hz、1920x1080p@50Hz、1920x1080p@30Hz、1920x1080p@29Hz、1920x1080p@25Hz、1920x1080p@24Hz、640x480p@60Hz、640x480p@75Hz、800x600p@60Hz、800x600p@75Hz、1024x768p@60Hz、1024x768p@75Hz、1280x1024p@60Hz、1280x1024p@75Hz、1360x768p@60Hz、1366x768p@60Hz、1400x1050p@60Hz、1600x1200p@60Hz、1440x900p@60Hz、1440x900p@75Hz、1680x1050p@60Hz、1920x1200p@60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支持音视频HDMI内置同传与视频HDMI传输；</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触摸屏选择输入音频为HDMI内置音频/外接模拟音频，默认为HDMI内置音频，外接输出音频凤凰端子输出为选择的音源，且具有断电记忆功能；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可通过触摸屏设置输出模拟音频内置/外接，默认内置；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HDMI无缝输出信号卡与其他输入信号卡进行无缝切换时，切换通道连接的输入信号源分辨率需保持一致。</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张</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数字高清音视频输入卡</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输入信号可倍线变成分辨率为1080p或者1920x1200输出；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信号类型支持手动更改：VGA（RGBHV）、S-VIDEO、C-VIDEO；</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可通过指令调节每路输入对应输出分辨率：1024x768@60Hz、1280x720@60Hz、1280x800@60Hz、1920x1080@60Hz（默认）、1360x768@60Hz、1920x1200@60Hz、1600x1200@60Hz；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只支持外接4路左右通道音频输入。</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输入信号卡具有字符叠加功能，可通过指令更改字符相关属性，相关指令详见指令表。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VGA输入最佳传输距离小于25m（1080P信号）。</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张</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数字高清音视频输出卡</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1~4音频输出端口一一对应VGA1~VGA4路视频输出口；</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输出信号卡的每路输出分辨率可通过指令调节：720x480i@60Hz、720x576i@50Hz、720x480p@60Hz、720x576p@50Hz、1280x720p@60Hz、1280x720p@59Hz、1280x720p@50Hz、1280x720p@30Hz、1280x720p@25Hz、1280x720p@24Hz、1920x1080i@60Hz、1920x1080i@59Hz、1920x1080i@50Hz、1920x1080p@60Hz、1920x1080p@59Hz、1920x1080p@50Hz、1920x1080p@30Hz、1920x1080p@29Hz、1920x1080p@25Hz、1920x1080p@24Hz、640x480p@60Hz、640x480p@75Hz、800x600p@60Hz、800x600p@75Hz、1024x768p@60Hz、1024x768p@75Hz、1280x1024p@60Hz、1280x1024p@75Hz、1360x768p@60Hz、1366x768p@60Hz、1400x1050p@60Hz、1600x1200p@60Hz、1440x900p@60Hz、1440x900p@75Hz、1680x1050p@60Hz、1920x1200p@60Hz；</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支持外嵌音频，且音视频同步，即无视频的同时，外嵌音频也无法传输；</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与VGA无缝输入信号卡搭配时，输入输出比为1：1；</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VGA无缝输出信号卡可与其他无缝输入信号卡搭配使用实现无缝切换效果；</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VGA无缝输出信号卡与其他无缝输入信号卡进行切换时，切换通道连接的输入信号源分辨率需保持一致；</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VGA输出最佳传输距离小于25m（1080P信号）。</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只支持外接4路左右通道音频输出。</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张</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网络编程多媒体中央控制主机</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1.采用国际流行SMT全贴片式生产工艺，采用LCD液晶显示屏显示，搭配多个实体按键操作，支持查看修改设备网络参数；</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2.采用可编程控制平台，交互式的控制结构，具有中英文可编程界面；</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3.支持≥8路独立可编程RS232控制接口，可以收发RS232、RS485、RS422等多种格式数据；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4.支持≥8路数字I/0输入输出控制口，带保护电路；</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5.支持≥8路独立可编程IR红外发射口，红外发射口可做串口使用，使可编程口总数达到16个；</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▲6.支持RST 复位按键，用于主机硬件复位；</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7.支持≥8路弱电继电器控制接口，可控制5V的开关量；</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▲8.支持≥2个NET网络控制接口，可以并接最大256个网络设备；</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9.支持内置≥8MB内存及≥16MB的大容量FLASH存储器，FLASH存储器可支持扩展至32M；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10.支持串口环出功能，串口1-8，任意一个输入，可以从另外一个串口环出；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11.提供RJ45网络接口，支持网络级联，支持无限空间扩容； </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12.设备为了适合任何地区，需可支持全制式环保电源(110V-240V)；</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▲13.产品通过国家认可的第三方权威检测机构出具CMA、CNAS和ilac-MRA认证标志的检验报告</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▲14.支持电力载波通信，省去重新布线的繁琐，提升工程效率；</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15.支持编程设置的任何控制协议或者控制代码；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16.支持硬件学习红外功能，内嵌智能红外学习功能模块，无须配置专业学习器；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17.支持双代码的控制，即一键发二种代码；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18.支持从网上下载各种常用的电器设备的红外代码库；</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中控强力电源控制器</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中控强力电源控制器主要是搭配各种中控使用，进行对各种设备电源的管理，起到保护设备的作用。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在机器的正前方，有8个按键开关，紧急情况下可以手动控制继电器的开关，比如在中控出现故障时可以使用这一功能，很好的保护其他的设备。</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在机器的内部有8个IO接口，在没有中控的情况下也能使用，用途更广。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广泛兼容目前市面上的中控网络协议。</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ID选择：旋转的ID切换设置网络ID身份代码。</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每路继电器都有三连接点的接线柱，具有常开与常闭（可选）的功能。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载入容量：单路功率20A。</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电源：DC24V网络供电。</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通过独立的网络协议（选配），前面板按键和IO控制，网络协议包括RS485和RS232（其中 RS485 和 RS232 两个只能选一个）。</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待机功耗 3W</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整机功耗 8W</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编程软件</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厂家免费提供</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套</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红外发射棒</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主机配送</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根</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无线平板电脑</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提供参考，需另购买。</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网传</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ipad2020新款10.2英寸8代平板电脑air2更新版2020款 2020款金色 128G WLAN版【标配】</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对</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6类带屏蔽网线</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Style w:val="61"/>
                <w:rFonts w:hint="eastAsia" w:ascii="仿宋" w:hAnsi="仿宋" w:eastAsia="仿宋" w:cs="仿宋"/>
                <w:color w:val="auto"/>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6类带屏蔽网线，</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3000</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中国</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12"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bCs w:val="0"/>
                <w:color w:val="auto"/>
                <w:sz w:val="24"/>
                <w:szCs w:val="24"/>
                <w:highlight w:val="none"/>
                <w:lang w:val="en-US" w:eastAsia="zh-CN"/>
              </w:rPr>
              <w:t>七、</w:t>
            </w:r>
            <w:r>
              <w:rPr>
                <w:rFonts w:hint="eastAsia" w:ascii="仿宋" w:hAnsi="仿宋" w:eastAsia="仿宋" w:cs="仿宋"/>
                <w:b/>
                <w:bCs w:val="0"/>
                <w:color w:val="auto"/>
                <w:sz w:val="24"/>
                <w:szCs w:val="24"/>
                <w:highlight w:val="none"/>
                <w:lang w:eastAsia="zh-CN"/>
              </w:rPr>
              <w:t>P4室内全彩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P4 室内高清全彩LED屏</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Style w:val="61"/>
                <w:rFonts w:hint="eastAsia" w:ascii="仿宋" w:hAnsi="仿宋" w:eastAsia="仿宋" w:cs="仿宋"/>
                <w:color w:val="auto"/>
                <w:sz w:val="21"/>
                <w:szCs w:val="21"/>
                <w:highlight w:val="none"/>
                <w:lang w:val="en-US" w:eastAsia="zh-CN" w:bidi="ar"/>
              </w:rPr>
              <w:t>P4室内全彩LED显示屏，尺寸：8.64*4.8=41.472平方米，整屏像素分辨率：2160*1200=2592000点。</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1、像数点间距 ≤4mm；</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2、像素密度 62500Dots/</w:t>
            </w:r>
            <w:r>
              <w:rPr>
                <w:rStyle w:val="62"/>
                <w:rFonts w:hint="eastAsia" w:ascii="仿宋" w:hAnsi="仿宋" w:eastAsia="仿宋" w:cs="仿宋"/>
                <w:color w:val="auto"/>
                <w:sz w:val="21"/>
                <w:szCs w:val="21"/>
                <w:highlight w:val="none"/>
                <w:lang w:val="en-US" w:eastAsia="zh-CN" w:bidi="ar"/>
              </w:rPr>
              <w:t>㎡</w:t>
            </w:r>
            <w:r>
              <w:rPr>
                <w:rStyle w:val="61"/>
                <w:rFonts w:hint="eastAsia" w:ascii="仿宋" w:hAnsi="仿宋" w:eastAsia="仿宋" w:cs="仿宋"/>
                <w:color w:val="auto"/>
                <w:sz w:val="21"/>
                <w:szCs w:val="21"/>
                <w:highlight w:val="none"/>
                <w:lang w:val="en-US" w:eastAsia="zh-CN" w:bidi="ar"/>
              </w:rPr>
              <w:t>；</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3、像素构成 1R1G1B；</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4、灯管封装 SMD；</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5、尺寸(长*宽)320*160；</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6、套件材料：采用聚碳和玻璃纤维材质；</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7、为确保屏体的安全性，要求LED显示屏所使用的PCB和套件(底壳、面罩)防火阻燃达V-0等级；</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8、单元板分辨率 80*40=3200Dots；</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 xml:space="preserve">9、输入电压(直流) 4.5±0.1V； </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10、最大电流 ≤5A；</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11、单元板功率 ≤23W；</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12、驱动方式 1/20恒流驱动；</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13、亮度 ≥450cd/</w:t>
            </w:r>
            <w:r>
              <w:rPr>
                <w:rStyle w:val="62"/>
                <w:rFonts w:hint="eastAsia" w:ascii="仿宋" w:hAnsi="仿宋" w:eastAsia="仿宋" w:cs="仿宋"/>
                <w:color w:val="auto"/>
                <w:sz w:val="21"/>
                <w:szCs w:val="21"/>
                <w:highlight w:val="none"/>
                <w:lang w:val="en-US" w:eastAsia="zh-CN" w:bidi="ar"/>
              </w:rPr>
              <w:t>㎡</w:t>
            </w:r>
            <w:r>
              <w:rPr>
                <w:rStyle w:val="61"/>
                <w:rFonts w:hint="eastAsia" w:ascii="仿宋" w:hAnsi="仿宋" w:eastAsia="仿宋" w:cs="仿宋"/>
                <w:color w:val="auto"/>
                <w:sz w:val="21"/>
                <w:szCs w:val="21"/>
                <w:highlight w:val="none"/>
                <w:lang w:val="en-US" w:eastAsia="zh-CN" w:bidi="ar"/>
              </w:rPr>
              <w:t>；</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14、亮度均匀性＞0.95；</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15、屏幕水平视角≥140度；</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16、屏幕垂直视角≥130度；</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17、最佳视距≥5m；</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18、每平方单元板最大功率≤439W/</w:t>
            </w:r>
            <w:r>
              <w:rPr>
                <w:rStyle w:val="62"/>
                <w:rFonts w:hint="eastAsia" w:ascii="仿宋" w:hAnsi="仿宋" w:eastAsia="仿宋" w:cs="仿宋"/>
                <w:color w:val="auto"/>
                <w:sz w:val="21"/>
                <w:szCs w:val="21"/>
                <w:highlight w:val="none"/>
                <w:lang w:val="en-US" w:eastAsia="zh-CN" w:bidi="ar"/>
              </w:rPr>
              <w:t>㎡</w:t>
            </w:r>
            <w:r>
              <w:rPr>
                <w:rStyle w:val="61"/>
                <w:rFonts w:hint="eastAsia" w:ascii="仿宋" w:hAnsi="仿宋" w:eastAsia="仿宋" w:cs="仿宋"/>
                <w:color w:val="auto"/>
                <w:sz w:val="21"/>
                <w:szCs w:val="21"/>
                <w:highlight w:val="none"/>
                <w:lang w:val="en-US" w:eastAsia="zh-CN" w:bidi="ar"/>
              </w:rPr>
              <w:t>；</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19、配电功率（每平方最大功率÷78%÷85%）≤663W/m2；</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20、灰度等级：红、绿、蓝各16bits；</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21、低亮高灰：亮度为20%时信号处理深度（灰度等级）达到14bit；</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22、显示颜色43980亿种；</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23、换帧频率≥60帧/秒；</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24、刷新频率≥3840Hz；</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25、色温3000K-18000K可调；</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26、单元板带有数据自动校正功能；</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27、亮度调节 256级手动/自动；</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28、为确保产品稳定，及长期使用，防护等级需达到IP50；</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29、使用寿命 ≥10万小时；</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30、平均无故障时间 ≥1万小时；</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31、色度均匀性：-0.003＜Cx＜0.003；</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32、衰减率(工作3年) ≤15％；</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33、连续失控点：0；</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34、离散失控点 ＜0.0001，出厂时为0；</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35、盲点率：＜0.0003，出厂时为0；</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 xml:space="preserve">36、工作温度范围 -20-40℃； </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 xml:space="preserve">37、工作湿度范围 10％-65％RH(无结露)； </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38、为确保屏体不受外界干扰、显示稳定，产品需通过EMC检测且其抗干扰等级达Class A级；</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39、屏幕水平平整度 ＜1mm/</w:t>
            </w:r>
            <w:r>
              <w:rPr>
                <w:rStyle w:val="62"/>
                <w:rFonts w:hint="eastAsia" w:ascii="仿宋" w:hAnsi="仿宋" w:eastAsia="仿宋" w:cs="仿宋"/>
                <w:color w:val="auto"/>
                <w:sz w:val="21"/>
                <w:szCs w:val="21"/>
                <w:highlight w:val="none"/>
                <w:lang w:val="en-US" w:eastAsia="zh-CN" w:bidi="ar"/>
              </w:rPr>
              <w:t>㎡</w:t>
            </w:r>
            <w:r>
              <w:rPr>
                <w:rStyle w:val="61"/>
                <w:rFonts w:hint="eastAsia" w:ascii="仿宋" w:hAnsi="仿宋" w:eastAsia="仿宋" w:cs="仿宋"/>
                <w:color w:val="auto"/>
                <w:sz w:val="21"/>
                <w:szCs w:val="21"/>
                <w:highlight w:val="none"/>
                <w:lang w:val="en-US" w:eastAsia="zh-CN" w:bidi="ar"/>
              </w:rPr>
              <w:t>；</w:t>
            </w:r>
            <w:r>
              <w:rPr>
                <w:rStyle w:val="61"/>
                <w:rFonts w:hint="eastAsia" w:ascii="仿宋" w:hAnsi="仿宋" w:eastAsia="仿宋" w:cs="仿宋"/>
                <w:color w:val="auto"/>
                <w:sz w:val="21"/>
                <w:szCs w:val="21"/>
                <w:highlight w:val="none"/>
                <w:lang w:val="en-US" w:eastAsia="zh-CN" w:bidi="ar"/>
              </w:rPr>
              <w:br w:type="textWrapping"/>
            </w:r>
            <w:r>
              <w:rPr>
                <w:rStyle w:val="61"/>
                <w:rFonts w:hint="eastAsia" w:ascii="仿宋" w:hAnsi="仿宋" w:eastAsia="仿宋" w:cs="仿宋"/>
                <w:color w:val="auto"/>
                <w:sz w:val="21"/>
                <w:szCs w:val="21"/>
                <w:highlight w:val="none"/>
                <w:lang w:val="en-US" w:eastAsia="zh-CN" w:bidi="ar"/>
              </w:rPr>
              <w:t>40、屏幕垂直平整度 ＜1mm/</w:t>
            </w:r>
            <w:r>
              <w:rPr>
                <w:rStyle w:val="62"/>
                <w:rFonts w:hint="eastAsia" w:ascii="仿宋" w:hAnsi="仿宋" w:eastAsia="仿宋" w:cs="仿宋"/>
                <w:color w:val="auto"/>
                <w:sz w:val="21"/>
                <w:szCs w:val="21"/>
                <w:highlight w:val="none"/>
                <w:lang w:val="en-US" w:eastAsia="zh-CN" w:bidi="ar"/>
              </w:rPr>
              <w:t>㎡</w:t>
            </w:r>
            <w:r>
              <w:rPr>
                <w:rStyle w:val="61"/>
                <w:rFonts w:hint="eastAsia" w:ascii="仿宋" w:hAnsi="仿宋" w:eastAsia="仿宋" w:cs="仿宋"/>
                <w:color w:val="auto"/>
                <w:sz w:val="21"/>
                <w:szCs w:val="21"/>
                <w:highlight w:val="none"/>
                <w:lang w:val="en-US" w:eastAsia="zh-CN" w:bidi="ar"/>
              </w:rPr>
              <w:t>；</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41.472</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平方米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播放主控</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1、具备6个千兆网口输出；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2、单机可支持最宽8192像素，或最高4096像素的LED显示屏；</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控制系统接收卡</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1、集成HUB75，无需再配转接板，更方便，成本更低；</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2、减少接插连接件，减少故障点，故障率更低；</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3、支持常规芯片实现高刷新、高灰度、高亮度；</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4、全新灰度引擎，低灰度表现更佳；</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5、细节处理更完美，可消除单元板设计引起的某行偏暗、低灰偏红、鬼影等细节问题；</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6、支持14bit精度的色度、亮度一体化逐点校正；</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7、支持所有常规芯片、PWM芯片和灯饰芯片；</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8、支持静态屏、1/2~1/64扫之间的任意扫描类型；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9、支持任意抽点，支持数据偏移，可轻松实现各种异型屏、球形屏、创意显示屏；</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10、单卡支持16组RGB信号输出；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11、支持超大带载面积，单卡带载128*512，256*256；</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12、先进设计，优质元器件，全自动高低温老化测试，零故障出厂；</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13、支持DC 3.3V~6V超宽工作电压，有效减弱电压波动带来的影响；</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65</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张</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LED电源</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5V40A</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129</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个</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屏体内线材</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16P排线，5V电源线，2.5平方三芯电缆，超五类网线，磁铁。</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52.43</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平方米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配电柜、智能上电（36KW）</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1、额定电压（V）：380/220。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2、额定频率（Hz）：50。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3、具有智能配电功能（保证配电系统三相负荷平衡）。</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4、具有分布上电功能。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5、同时具有过流、短路、过压、欠压保护功能。</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6、额定电压（V）：380/220。</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焊接钢结构、不锈钢边框</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1、按图纸施工，边框尺寸：8.84*5=54平方米。</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2、全镀锌扁通20*40结构。</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3、能抗压、不易变形。</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44.2</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平方米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运输、安装调试工程</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含工程管理，工程施工，系统安装调试，系统培训。</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项</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4"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播放管理系统</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支持Windows2000/XP/Vista/WIN7等操作系统下运行；多显示屏支持；多屏独立编辑；数据库显示；表格输入；网络功能；后台播放；定时播放；多窗口多任务同时播放；文本支持Word，Excel，ppt；可为节目窗叠加背景音乐；支持所有的动画文件（MPG ／MPEG／MPV／MPA／AVI／VCD／SWF／RM／RA／RMJ／ASF．．．）；丰富的图片浏览方式；日期、时间、日期+时间、模拟时钟等各种正负计时功能；日历可透明显示；可自动播放多个任务；提供外部程序接口；视频源色度、饱和度、亮度、对比度软件调节；</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备品备件</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 w:hAnsi="仿宋" w:eastAsia="仿宋" w:cs="仿宋"/>
                <w:i w:val="0"/>
                <w:color w:val="auto"/>
                <w:sz w:val="21"/>
                <w:szCs w:val="21"/>
                <w:highlight w:val="none"/>
                <w:u w:val="none"/>
                <w:lang w:val="en-US" w:eastAsia="zh-CN" w:bidi="ar-SA"/>
              </w:rPr>
            </w:pP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16</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张</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信号线、主电缆</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进线三相10平方电线，出线9组4平方电线，10根网线。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1、国标纯铜电线30米。</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2、网线50米，纯铜超五类以上。</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项</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212"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bCs/>
                <w:i w:val="0"/>
                <w:iCs w:val="0"/>
                <w:color w:val="auto"/>
                <w:kern w:val="0"/>
                <w:sz w:val="21"/>
                <w:szCs w:val="21"/>
                <w:highlight w:val="none"/>
                <w:u w:val="none"/>
                <w:lang w:val="en-US" w:eastAsia="zh-CN" w:bidi="ar"/>
              </w:rPr>
              <w:t>八、</w:t>
            </w:r>
            <w:r>
              <w:rPr>
                <w:rFonts w:hint="eastAsia" w:ascii="仿宋" w:hAnsi="仿宋" w:eastAsia="仿宋" w:cs="仿宋"/>
                <w:b/>
                <w:bCs/>
                <w:i w:val="0"/>
                <w:iCs w:val="0"/>
                <w:color w:val="auto"/>
                <w:kern w:val="0"/>
                <w:sz w:val="28"/>
                <w:szCs w:val="28"/>
                <w:highlight w:val="none"/>
                <w:u w:val="none"/>
                <w:lang w:val="en-US" w:eastAsia="zh-CN" w:bidi="ar"/>
              </w:rPr>
              <w:t>P4.75室内单红色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P4.75 室内单红色LED屏</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P4.75室内单红色LED显示屏，尺寸：22.8*0.912=20.7936平方米</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1、像素点物理间距 4.75mm。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2、颜色基色 1红。</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3、像素点物理密度 44321点/</w:t>
            </w:r>
            <w:r>
              <w:rPr>
                <w:rStyle w:val="64"/>
                <w:rFonts w:hint="eastAsia" w:ascii="仿宋" w:hAnsi="仿宋" w:eastAsia="仿宋" w:cs="仿宋"/>
                <w:color w:val="auto"/>
                <w:sz w:val="21"/>
                <w:szCs w:val="21"/>
                <w:highlight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4、模组分辨率 64（X）点×32（Y）点。</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5、模组尺寸 304mm×152mm。</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6、显示亮度 ≥200cd/</w:t>
            </w:r>
            <w:r>
              <w:rPr>
                <w:rStyle w:val="64"/>
                <w:rFonts w:hint="eastAsia" w:ascii="仿宋" w:hAnsi="仿宋" w:eastAsia="仿宋" w:cs="仿宋"/>
                <w:color w:val="auto"/>
                <w:sz w:val="21"/>
                <w:szCs w:val="21"/>
                <w:highlight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t>。</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7、视角水平130°，垂直130°。</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8、显示模式：异步显示。</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9、扫描方式驱动方式 1/16扫描，恒流驱动。</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10、像素点失控率 ≤0.0002。</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11、平均无故障时间 ≥10000小时。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12、使用寿命 ≥10万小时。</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13、计算机信号网口IP。</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20.7936</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平方米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播放盒</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同异步全彩播放器，不可联网，带缩放功能，不带WIFI功能，自带8G内存，带载总点数：130万，最宽：4096，最高：1536，</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支持局域网集群控制，强力巨彩LED大屏幕播放系统QLplayer，进行节目和设备管理，支持U盘即插即播，功能强大，应用灵活方便，自带播放系统，超强高清解码播放，效果出众。（C5为C6不可联网版本</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接收卡</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支持高精度色度、亮度一体化逐点矫正，支持所有常规芯片、PWM芯片，支持所有常规50Pin转接板。支持所有1~64扫任意模组，支持任意抽点，支持数据偏移，实现各种创意显示，建议带载：长度128点，高度256点。</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10</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张</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节能电源</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5V40A</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38</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台</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屏体内线材</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排线，5V电源线，2.5平方三芯电缆，磁铁。</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14</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平方米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备品备件</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仿宋" w:hAnsi="仿宋" w:eastAsia="仿宋" w:cs="仿宋"/>
                <w:i w:val="0"/>
                <w:color w:val="auto"/>
                <w:sz w:val="21"/>
                <w:szCs w:val="21"/>
                <w:highlight w:val="none"/>
                <w:u w:val="none"/>
                <w:lang w:val="en-US" w:eastAsia="zh-CN" w:bidi="ar-SA"/>
              </w:rPr>
            </w:pP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6</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张</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播放管理系统</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支持Windows2000/XP/Vista/WIN7等操作系统下运行；多显示屏支持；多屏独立编辑；数据库显示；表格输入；网络功能；后台播放；定时播放；多窗口多任务同时播放；文本支持Word，Excel，ppt；可为节目窗叠加背景音乐；支持所有的动画文件（MPG ／MPEG／MPV／MPA／AVI／VCD／SWF／RM／RA／RMJ／ASF．．．）；丰富的图片浏览方式；日期、时间、日期+时间、模拟时钟等各种正负计时功能；日历可透明显示；可自动播放多个任务；提供外部程序接口；视频源色度、饱和度、亮度、对比度软件调节；</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套</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显示屏承重钢结构、黑色铝合金包边装饰</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1、按图纸施工，边框尺寸：23*10.5=24.15平方米。</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24.15</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平方米</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信号线、主电缆</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三相4平方电线，6根网线。</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1、国标纯铜电线30米。</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2、网线50米，纯铜超五类以上。</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项</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7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13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运输、安装调试工程</w:t>
            </w:r>
          </w:p>
        </w:tc>
        <w:tc>
          <w:tcPr>
            <w:tcW w:w="141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国产一线品牌</w:t>
            </w:r>
          </w:p>
        </w:tc>
        <w:tc>
          <w:tcPr>
            <w:tcW w:w="3600"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top"/>
              <w:rPr>
                <w:rFonts w:hint="eastAsia" w:ascii="仿宋" w:hAnsi="仿宋" w:eastAsia="仿宋" w:cs="仿宋"/>
                <w:i w:val="0"/>
                <w:color w:val="auto"/>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含工程管理，工程施工，系统安装调试，系统培训</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w:t>
            </w:r>
          </w:p>
        </w:tc>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项</w:t>
            </w:r>
          </w:p>
        </w:tc>
        <w:tc>
          <w:tcPr>
            <w:tcW w:w="88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val="0"/>
                <w:bCs/>
                <w:color w:val="auto"/>
                <w:sz w:val="21"/>
                <w:szCs w:val="21"/>
                <w:highlight w:val="none"/>
                <w:lang w:eastAsia="zh-CN"/>
              </w:rPr>
            </w:pPr>
          </w:p>
        </w:tc>
        <w:tc>
          <w:tcPr>
            <w:tcW w:w="115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25" w:type="dxa"/>
            <w:gridSpan w:val="4"/>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合计（含税）</w:t>
            </w:r>
          </w:p>
        </w:tc>
        <w:tc>
          <w:tcPr>
            <w:tcW w:w="3487" w:type="dxa"/>
            <w:gridSpan w:val="4"/>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highlight w:val="none"/>
              </w:rPr>
            </w:pPr>
          </w:p>
        </w:tc>
      </w:tr>
    </w:tbl>
    <w:p>
      <w:pPr>
        <w:spacing w:before="156" w:beforeLines="50" w:after="78" w:afterLines="25" w:line="240" w:lineRule="auto"/>
        <w:jc w:val="left"/>
        <w:outlineLvl w:val="1"/>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bookmarkStart w:id="50" w:name="_Toc7354"/>
      <w:r>
        <w:rPr>
          <w:rFonts w:hint="eastAsia" w:ascii="仿宋" w:hAnsi="仿宋" w:eastAsia="仿宋" w:cs="仿宋"/>
          <w:bCs/>
          <w:color w:val="auto"/>
          <w:sz w:val="24"/>
          <w:szCs w:val="24"/>
          <w:highlight w:val="none"/>
        </w:rPr>
        <w:t>（1）所有报价商品需要提供品牌、规格</w:t>
      </w:r>
      <w:r>
        <w:rPr>
          <w:rFonts w:hint="eastAsia" w:ascii="仿宋" w:hAnsi="仿宋" w:eastAsia="仿宋" w:cs="仿宋"/>
          <w:bCs/>
          <w:color w:val="auto"/>
          <w:sz w:val="24"/>
          <w:szCs w:val="24"/>
          <w:highlight w:val="none"/>
          <w:lang w:val="en-US" w:eastAsia="zh-CN"/>
        </w:rPr>
        <w:t>型号</w:t>
      </w:r>
      <w:r>
        <w:rPr>
          <w:rFonts w:hint="eastAsia" w:ascii="仿宋" w:hAnsi="仿宋" w:eastAsia="仿宋" w:cs="仿宋"/>
          <w:bCs/>
          <w:color w:val="auto"/>
          <w:sz w:val="24"/>
          <w:szCs w:val="24"/>
          <w:highlight w:val="none"/>
        </w:rPr>
        <w:t>等真实详细信息</w:t>
      </w:r>
      <w:bookmarkEnd w:id="50"/>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否则将视为没有实质性响应公开询价文件</w:t>
      </w:r>
      <w:r>
        <w:rPr>
          <w:rFonts w:hint="eastAsia" w:ascii="仿宋" w:hAnsi="仿宋" w:eastAsia="仿宋" w:cs="仿宋"/>
          <w:bCs/>
          <w:color w:val="auto"/>
          <w:sz w:val="24"/>
          <w:szCs w:val="24"/>
          <w:highlight w:val="none"/>
        </w:rPr>
        <w:t>；</w:t>
      </w:r>
    </w:p>
    <w:p>
      <w:pPr>
        <w:spacing w:before="156" w:beforeLines="50" w:after="78" w:afterLines="25" w:line="240" w:lineRule="auto"/>
        <w:ind w:firstLine="480" w:firstLineChars="200"/>
        <w:jc w:val="left"/>
        <w:outlineLvl w:val="1"/>
        <w:rPr>
          <w:rFonts w:ascii="仿宋" w:hAnsi="仿宋" w:eastAsia="仿宋" w:cs="仿宋"/>
          <w:bCs/>
          <w:color w:val="auto"/>
          <w:sz w:val="24"/>
          <w:szCs w:val="24"/>
          <w:highlight w:val="none"/>
        </w:rPr>
      </w:pPr>
      <w:bookmarkStart w:id="51" w:name="_Toc7102"/>
      <w:r>
        <w:rPr>
          <w:rFonts w:hint="eastAsia" w:ascii="仿宋" w:hAnsi="仿宋" w:eastAsia="仿宋" w:cs="仿宋"/>
          <w:bCs/>
          <w:color w:val="auto"/>
          <w:sz w:val="24"/>
          <w:szCs w:val="24"/>
          <w:highlight w:val="none"/>
        </w:rPr>
        <w:t>（2）所有报价商品需注明保修期不低于</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年</w:t>
      </w:r>
      <w:bookmarkEnd w:id="51"/>
      <w:r>
        <w:rPr>
          <w:rFonts w:hint="eastAsia" w:ascii="仿宋" w:hAnsi="仿宋" w:eastAsia="仿宋" w:cs="仿宋"/>
          <w:bCs/>
          <w:color w:val="auto"/>
          <w:sz w:val="24"/>
          <w:szCs w:val="24"/>
          <w:highlight w:val="none"/>
        </w:rPr>
        <w:t>；</w:t>
      </w:r>
    </w:p>
    <w:p>
      <w:pPr>
        <w:spacing w:before="156" w:beforeLines="50" w:after="78" w:afterLines="25" w:line="240" w:lineRule="auto"/>
        <w:ind w:firstLine="480" w:firstLineChars="200"/>
        <w:jc w:val="left"/>
        <w:outlineLvl w:val="1"/>
        <w:rPr>
          <w:rFonts w:hint="eastAsia" w:ascii="仿宋" w:hAnsi="仿宋" w:eastAsia="仿宋" w:cs="仿宋"/>
          <w:bCs/>
          <w:color w:val="auto"/>
          <w:sz w:val="24"/>
          <w:szCs w:val="24"/>
          <w:highlight w:val="none"/>
          <w:lang w:val="en-US" w:eastAsia="zh-CN"/>
        </w:rPr>
      </w:pPr>
      <w:bookmarkStart w:id="52" w:name="_Toc20976"/>
      <w:r>
        <w:rPr>
          <w:rFonts w:hint="eastAsia" w:ascii="仿宋" w:hAnsi="仿宋" w:eastAsia="仿宋" w:cs="仿宋"/>
          <w:bCs/>
          <w:color w:val="auto"/>
          <w:sz w:val="24"/>
          <w:szCs w:val="24"/>
          <w:highlight w:val="none"/>
        </w:rPr>
        <w:t>（3）以上产品的报价应包含税费、运输费、搬运费、安装</w:t>
      </w:r>
      <w:r>
        <w:rPr>
          <w:rFonts w:hint="eastAsia" w:ascii="仿宋" w:hAnsi="仿宋" w:eastAsia="仿宋" w:cs="仿宋"/>
          <w:bCs/>
          <w:color w:val="auto"/>
          <w:sz w:val="24"/>
          <w:szCs w:val="24"/>
          <w:highlight w:val="none"/>
          <w:lang w:val="en-US" w:eastAsia="zh-CN"/>
        </w:rPr>
        <w:t>材料费</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安装人工费、</w:t>
      </w:r>
      <w:r>
        <w:rPr>
          <w:rFonts w:hint="eastAsia" w:ascii="仿宋" w:hAnsi="仿宋" w:eastAsia="仿宋" w:cs="仿宋"/>
          <w:bCs/>
          <w:color w:val="auto"/>
          <w:sz w:val="24"/>
          <w:szCs w:val="24"/>
          <w:highlight w:val="none"/>
        </w:rPr>
        <w:t>售后服务等一切</w:t>
      </w:r>
      <w:bookmarkEnd w:id="52"/>
      <w:r>
        <w:rPr>
          <w:rFonts w:hint="eastAsia" w:ascii="仿宋" w:hAnsi="仿宋" w:eastAsia="仿宋" w:cs="仿宋"/>
          <w:bCs/>
          <w:color w:val="auto"/>
          <w:sz w:val="24"/>
          <w:szCs w:val="24"/>
          <w:highlight w:val="none"/>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color w:val="auto"/>
          <w:sz w:val="24"/>
          <w:szCs w:val="24"/>
          <w:highlight w:val="none"/>
          <w:lang w:val="en-US" w:eastAsia="zh-CN"/>
        </w:rPr>
        <w:sectPr>
          <w:headerReference r:id="rId7" w:type="first"/>
          <w:headerReference r:id="rId6"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color w:val="auto"/>
          <w:sz w:val="72"/>
          <w:szCs w:val="72"/>
          <w:highlight w:val="none"/>
          <w:lang w:val="en-US" w:eastAsia="zh-CN"/>
        </w:rPr>
      </w:pPr>
    </w:p>
    <w:p>
      <w:pPr>
        <w:spacing w:line="1000" w:lineRule="exact"/>
        <w:jc w:val="center"/>
        <w:rPr>
          <w:rFonts w:hint="eastAsia" w:ascii="仿宋" w:hAnsi="仿宋" w:eastAsia="仿宋"/>
          <w:b/>
          <w:color w:val="auto"/>
          <w:sz w:val="72"/>
          <w:szCs w:val="72"/>
          <w:highlight w:val="none"/>
          <w:lang w:val="en-US" w:eastAsia="zh-CN"/>
        </w:rPr>
      </w:pPr>
    </w:p>
    <w:p>
      <w:pPr>
        <w:spacing w:line="1000" w:lineRule="exact"/>
        <w:jc w:val="center"/>
        <w:rPr>
          <w:rFonts w:hint="eastAsia" w:ascii="仿宋" w:hAnsi="仿宋" w:eastAsia="仿宋"/>
          <w:b/>
          <w:color w:val="auto"/>
          <w:sz w:val="72"/>
          <w:szCs w:val="72"/>
          <w:highlight w:val="none"/>
          <w:lang w:val="en-US" w:eastAsia="zh-CN"/>
        </w:rPr>
      </w:pPr>
    </w:p>
    <w:p>
      <w:pPr>
        <w:spacing w:line="1000" w:lineRule="exact"/>
        <w:jc w:val="center"/>
        <w:rPr>
          <w:rFonts w:hint="eastAsia" w:ascii="仿宋" w:hAnsi="仿宋" w:eastAsia="仿宋"/>
          <w:b/>
          <w:color w:val="auto"/>
          <w:sz w:val="72"/>
          <w:szCs w:val="72"/>
          <w:highlight w:val="none"/>
          <w:lang w:val="en-US" w:eastAsia="zh-CN"/>
        </w:rPr>
      </w:pPr>
    </w:p>
    <w:p>
      <w:pPr>
        <w:spacing w:line="1000" w:lineRule="exact"/>
        <w:jc w:val="both"/>
        <w:rPr>
          <w:rFonts w:hint="eastAsia" w:ascii="仿宋" w:hAnsi="仿宋" w:eastAsia="仿宋"/>
          <w:b/>
          <w:color w:val="auto"/>
          <w:sz w:val="72"/>
          <w:szCs w:val="72"/>
          <w:highlight w:val="none"/>
          <w:lang w:val="en-US" w:eastAsia="zh-CN"/>
        </w:rPr>
      </w:pPr>
    </w:p>
    <w:p>
      <w:pPr>
        <w:spacing w:line="1000" w:lineRule="exact"/>
        <w:jc w:val="center"/>
        <w:rPr>
          <w:rFonts w:hint="eastAsia" w:ascii="仿宋" w:hAnsi="仿宋" w:eastAsia="仿宋"/>
          <w:b/>
          <w:color w:val="auto"/>
          <w:sz w:val="72"/>
          <w:szCs w:val="72"/>
          <w:highlight w:val="none"/>
          <w:lang w:val="en-US" w:eastAsia="zh-CN"/>
        </w:rPr>
      </w:pPr>
    </w:p>
    <w:p>
      <w:pPr>
        <w:spacing w:line="1000" w:lineRule="exact"/>
        <w:jc w:val="center"/>
        <w:rPr>
          <w:rFonts w:hint="default" w:ascii="仿宋" w:hAnsi="仿宋" w:eastAsia="仿宋"/>
          <w:b/>
          <w:color w:val="auto"/>
          <w:sz w:val="72"/>
          <w:szCs w:val="72"/>
          <w:highlight w:val="none"/>
          <w:lang w:val="en-US"/>
        </w:rPr>
      </w:pPr>
      <w:r>
        <w:rPr>
          <w:rFonts w:hint="eastAsia" w:ascii="仿宋" w:hAnsi="仿宋" w:eastAsia="仿宋"/>
          <w:b/>
          <w:color w:val="auto"/>
          <w:sz w:val="72"/>
          <w:szCs w:val="72"/>
          <w:highlight w:val="none"/>
          <w:lang w:val="en-US" w:eastAsia="zh-CN"/>
        </w:rPr>
        <w:t>广州应用科技学院肇庆校区</w:t>
      </w:r>
    </w:p>
    <w:p>
      <w:pPr>
        <w:spacing w:line="580" w:lineRule="exact"/>
        <w:jc w:val="center"/>
        <w:rPr>
          <w:rFonts w:hint="eastAsia" w:ascii="仿宋" w:hAnsi="仿宋" w:eastAsia="仿宋"/>
          <w:b/>
          <w:color w:val="auto"/>
          <w:sz w:val="36"/>
          <w:szCs w:val="36"/>
          <w:highlight w:val="none"/>
          <w:lang w:val="en-US" w:eastAsia="zh-CN"/>
        </w:rPr>
      </w:pPr>
      <w:r>
        <w:rPr>
          <w:rFonts w:hint="eastAsia" w:ascii="仿宋" w:hAnsi="仿宋" w:eastAsia="仿宋"/>
          <w:b/>
          <w:color w:val="auto"/>
          <w:sz w:val="36"/>
          <w:szCs w:val="36"/>
          <w:highlight w:val="none"/>
        </w:rPr>
        <w:t>关于</w:t>
      </w:r>
      <w:r>
        <w:rPr>
          <w:rFonts w:hint="eastAsia" w:ascii="仿宋" w:hAnsi="仿宋" w:eastAsia="仿宋"/>
          <w:b/>
          <w:color w:val="auto"/>
          <w:sz w:val="36"/>
          <w:szCs w:val="36"/>
          <w:highlight w:val="none"/>
          <w:lang w:val="en-US" w:eastAsia="zh-CN"/>
        </w:rPr>
        <w:t>大礼堂舞台灯光音响设备采购及安装项目</w:t>
      </w:r>
    </w:p>
    <w:p>
      <w:pPr>
        <w:spacing w:line="580" w:lineRule="exact"/>
        <w:jc w:val="center"/>
        <w:rPr>
          <w:rFonts w:hint="eastAsia" w:ascii="仿宋" w:hAnsi="仿宋" w:eastAsia="仿宋"/>
          <w:b/>
          <w:color w:val="auto"/>
          <w:sz w:val="44"/>
          <w:szCs w:val="44"/>
          <w:highlight w:val="none"/>
          <w:lang w:val="en-US" w:eastAsia="zh-CN"/>
        </w:rPr>
      </w:pPr>
    </w:p>
    <w:p>
      <w:pPr>
        <w:spacing w:line="580" w:lineRule="exact"/>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报</w:t>
      </w:r>
    </w:p>
    <w:p>
      <w:pPr>
        <w:spacing w:line="580" w:lineRule="exact"/>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价</w:t>
      </w:r>
    </w:p>
    <w:p>
      <w:pPr>
        <w:spacing w:line="580" w:lineRule="exact"/>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响</w:t>
      </w:r>
    </w:p>
    <w:p>
      <w:pPr>
        <w:spacing w:line="580" w:lineRule="exact"/>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应</w:t>
      </w:r>
    </w:p>
    <w:p>
      <w:pPr>
        <w:spacing w:line="580" w:lineRule="exact"/>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文</w:t>
      </w:r>
    </w:p>
    <w:p>
      <w:pPr>
        <w:spacing w:line="580" w:lineRule="exact"/>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件</w:t>
      </w:r>
    </w:p>
    <w:p>
      <w:pPr>
        <w:spacing w:line="580" w:lineRule="exact"/>
        <w:jc w:val="center"/>
        <w:rPr>
          <w:rFonts w:ascii="仿宋" w:hAnsi="仿宋" w:eastAsia="仿宋"/>
          <w:b/>
          <w:color w:val="auto"/>
          <w:sz w:val="72"/>
          <w:szCs w:val="72"/>
          <w:highlight w:val="none"/>
        </w:rPr>
      </w:pPr>
    </w:p>
    <w:p>
      <w:pPr>
        <w:spacing w:line="500" w:lineRule="exact"/>
        <w:ind w:firstLine="2331" w:firstLineChars="645"/>
        <w:rPr>
          <w:rFonts w:ascii="仿宋" w:hAnsi="仿宋" w:eastAsia="仿宋"/>
          <w:b/>
          <w:color w:val="auto"/>
          <w:sz w:val="36"/>
          <w:szCs w:val="36"/>
          <w:highlight w:val="none"/>
        </w:rPr>
      </w:pPr>
      <w:r>
        <w:rPr>
          <w:rFonts w:hint="eastAsia" w:ascii="仿宋" w:hAnsi="仿宋" w:eastAsia="仿宋"/>
          <w:b/>
          <w:color w:val="auto"/>
          <w:sz w:val="36"/>
          <w:szCs w:val="36"/>
          <w:highlight w:val="none"/>
        </w:rPr>
        <w:t>参与人名称（公司全称）：</w:t>
      </w:r>
      <w:r>
        <w:rPr>
          <w:rFonts w:ascii="仿宋" w:hAnsi="仿宋" w:eastAsia="仿宋"/>
          <w:b/>
          <w:color w:val="auto"/>
          <w:sz w:val="36"/>
          <w:szCs w:val="36"/>
          <w:highlight w:val="none"/>
        </w:rPr>
        <w:t>XXXX</w:t>
      </w:r>
    </w:p>
    <w:p>
      <w:pPr>
        <w:spacing w:line="500" w:lineRule="exact"/>
        <w:ind w:firstLine="2331" w:firstLineChars="645"/>
        <w:rPr>
          <w:rFonts w:ascii="仿宋" w:hAnsi="仿宋" w:eastAsia="仿宋"/>
          <w:b/>
          <w:color w:val="auto"/>
          <w:sz w:val="36"/>
          <w:szCs w:val="36"/>
          <w:highlight w:val="none"/>
        </w:rPr>
      </w:pPr>
      <w:r>
        <w:rPr>
          <w:rFonts w:hint="eastAsia" w:ascii="仿宋" w:hAnsi="仿宋" w:eastAsia="仿宋"/>
          <w:b/>
          <w:color w:val="auto"/>
          <w:sz w:val="36"/>
          <w:szCs w:val="36"/>
          <w:highlight w:val="none"/>
        </w:rPr>
        <w:t>参与人授权代表：X</w:t>
      </w:r>
      <w:r>
        <w:rPr>
          <w:rFonts w:ascii="仿宋" w:hAnsi="仿宋" w:eastAsia="仿宋"/>
          <w:b/>
          <w:color w:val="auto"/>
          <w:sz w:val="36"/>
          <w:szCs w:val="36"/>
          <w:highlight w:val="none"/>
        </w:rPr>
        <w:t>XXX</w:t>
      </w:r>
    </w:p>
    <w:p>
      <w:pPr>
        <w:jc w:val="center"/>
        <w:rPr>
          <w:rFonts w:ascii="仿宋" w:hAnsi="仿宋" w:eastAsia="仿宋"/>
          <w:b/>
          <w:color w:val="auto"/>
          <w:sz w:val="36"/>
          <w:szCs w:val="36"/>
          <w:highlight w:val="none"/>
        </w:rPr>
      </w:pPr>
    </w:p>
    <w:p>
      <w:pPr>
        <w:jc w:val="center"/>
        <w:rPr>
          <w:rFonts w:ascii="仿宋" w:hAnsi="仿宋" w:eastAsia="仿宋"/>
          <w:b/>
          <w:bCs/>
          <w:color w:val="auto"/>
          <w:sz w:val="30"/>
          <w:szCs w:val="30"/>
          <w:highlight w:val="none"/>
        </w:rPr>
      </w:pPr>
    </w:p>
    <w:p>
      <w:pPr>
        <w:jc w:val="center"/>
        <w:rPr>
          <w:rFonts w:ascii="仿宋" w:hAnsi="仿宋" w:eastAsia="仿宋"/>
          <w:b/>
          <w:bCs/>
          <w:color w:val="auto"/>
          <w:sz w:val="30"/>
          <w:szCs w:val="30"/>
          <w:highlight w:val="none"/>
        </w:rPr>
      </w:pPr>
    </w:p>
    <w:p>
      <w:pPr>
        <w:jc w:val="center"/>
        <w:rPr>
          <w:rFonts w:ascii="仿宋" w:hAnsi="仿宋" w:eastAsia="仿宋"/>
          <w:b/>
          <w:bCs/>
          <w:color w:val="auto"/>
          <w:sz w:val="30"/>
          <w:szCs w:val="30"/>
          <w:highlight w:val="none"/>
        </w:rPr>
      </w:pPr>
      <w:r>
        <w:rPr>
          <w:rFonts w:hint="eastAsia" w:ascii="仿宋" w:hAnsi="仿宋" w:eastAsia="仿宋"/>
          <w:b/>
          <w:bCs/>
          <w:color w:val="auto"/>
          <w:sz w:val="30"/>
          <w:szCs w:val="30"/>
          <w:highlight w:val="none"/>
        </w:rPr>
        <w:t>此封面应作为报价响应文件封面</w:t>
      </w:r>
    </w:p>
    <w:p>
      <w:pPr>
        <w:rPr>
          <w:rFonts w:ascii="仿宋" w:hAnsi="仿宋" w:eastAsia="仿宋"/>
          <w:b/>
          <w:bCs/>
          <w:color w:val="auto"/>
          <w:sz w:val="30"/>
          <w:szCs w:val="30"/>
          <w:highlight w:val="none"/>
        </w:rPr>
        <w:sectPr>
          <w:headerReference r:id="rId9" w:type="first"/>
          <w:headerReference r:id="rId8"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color w:val="auto"/>
          <w:sz w:val="28"/>
          <w:szCs w:val="28"/>
          <w:highlight w:val="none"/>
        </w:rPr>
      </w:pPr>
      <w:bookmarkStart w:id="53" w:name="_Toc266868670"/>
      <w:bookmarkStart w:id="54" w:name="_Toc255975007"/>
      <w:bookmarkStart w:id="55" w:name="_Toc267059181"/>
      <w:bookmarkStart w:id="56" w:name="_Toc267060321"/>
      <w:bookmarkStart w:id="57" w:name="_Toc267059539"/>
      <w:bookmarkStart w:id="58" w:name="_Toc223146608"/>
      <w:bookmarkStart w:id="59" w:name="_Toc213755939"/>
      <w:bookmarkStart w:id="60" w:name="_Toc232302115"/>
      <w:bookmarkStart w:id="61" w:name="_Toc193160448"/>
      <w:bookmarkStart w:id="62" w:name="_Toc213756051"/>
      <w:bookmarkStart w:id="63" w:name="_Toc182805217"/>
      <w:bookmarkStart w:id="64" w:name="_Toc181436565"/>
      <w:bookmarkStart w:id="65" w:name="_Toc160880529"/>
      <w:bookmarkStart w:id="66" w:name="_Toc251586231"/>
      <w:bookmarkStart w:id="67" w:name="_Toc213755858"/>
      <w:bookmarkStart w:id="68" w:name="_Toc236021449"/>
      <w:bookmarkStart w:id="69" w:name="_Toc192663686"/>
      <w:bookmarkStart w:id="70" w:name="_Toc235437991"/>
      <w:bookmarkStart w:id="71" w:name="_Toc266868937"/>
      <w:bookmarkStart w:id="72" w:name="_Toc182372782"/>
      <w:bookmarkStart w:id="73" w:name="_Toc249325711"/>
      <w:bookmarkStart w:id="74" w:name="_Toc227058530"/>
      <w:bookmarkStart w:id="75" w:name="_Toc177985469"/>
      <w:bookmarkStart w:id="76" w:name="_Toc203355733"/>
      <w:bookmarkStart w:id="77" w:name="_Toc254790899"/>
      <w:bookmarkStart w:id="78" w:name="_Toc267060453"/>
      <w:bookmarkStart w:id="79" w:name="_Toc266870907"/>
      <w:bookmarkStart w:id="80" w:name="_Toc266870432"/>
      <w:bookmarkStart w:id="81" w:name="_Toc267060068"/>
      <w:bookmarkStart w:id="82" w:name="_Toc259520865"/>
      <w:bookmarkStart w:id="83" w:name="_Toc211917116"/>
      <w:bookmarkStart w:id="84" w:name="_Toc191802690"/>
      <w:bookmarkStart w:id="85" w:name="_Toc219800243"/>
      <w:bookmarkStart w:id="86" w:name="_Toc192996338"/>
      <w:bookmarkStart w:id="87" w:name="_Toc169332838"/>
      <w:bookmarkStart w:id="88" w:name="_Toc192664153"/>
      <w:bookmarkStart w:id="89" w:name="_Toc267059653"/>
      <w:bookmarkStart w:id="90" w:name="_Toc259692740"/>
      <w:bookmarkStart w:id="91" w:name="_Toc160880160"/>
      <w:bookmarkStart w:id="92" w:name="_Toc181436461"/>
      <w:bookmarkStart w:id="93" w:name="_Toc193165734"/>
      <w:bookmarkStart w:id="94" w:name="_Toc258401256"/>
      <w:bookmarkStart w:id="95" w:name="_Toc191803626"/>
      <w:bookmarkStart w:id="96" w:name="_Toc253066614"/>
      <w:bookmarkStart w:id="97" w:name="_Toc225669322"/>
      <w:bookmarkStart w:id="98" w:name="_Toc191789329"/>
      <w:bookmarkStart w:id="99" w:name="_Toc267059919"/>
      <w:bookmarkStart w:id="100" w:name="_Toc191783222"/>
      <w:bookmarkStart w:id="101" w:name="_Toc180302913"/>
      <w:bookmarkStart w:id="102" w:name="_Toc251613829"/>
      <w:bookmarkStart w:id="103" w:name="_Toc267060208"/>
      <w:bookmarkStart w:id="104" w:name="_Toc273178698"/>
      <w:bookmarkStart w:id="105" w:name="_Toc259692647"/>
      <w:bookmarkStart w:id="106" w:name="_Toc267059030"/>
      <w:bookmarkStart w:id="107" w:name="_Toc235438344"/>
      <w:bookmarkStart w:id="108" w:name="_Toc213208766"/>
      <w:bookmarkStart w:id="109" w:name="_Toc235438274"/>
      <w:bookmarkStart w:id="110" w:name="_Toc169332949"/>
      <w:bookmarkStart w:id="111" w:name="_Toc266870833"/>
      <w:bookmarkStart w:id="112" w:name="_Toc213755995"/>
      <w:bookmarkStart w:id="113" w:name="_Toc230071147"/>
      <w:bookmarkStart w:id="114" w:name="_Toc170798793"/>
      <w:bookmarkStart w:id="115" w:name="_Toc192663835"/>
      <w:bookmarkStart w:id="116" w:name="_Toc192996446"/>
      <w:bookmarkStart w:id="117" w:name="_Toc267059806"/>
      <w:bookmarkStart w:id="118" w:name="_Toc217891402"/>
    </w:p>
    <w:p>
      <w:pPr>
        <w:jc w:val="center"/>
        <w:outlineLvl w:val="1"/>
        <w:rPr>
          <w:rFonts w:hint="eastAsia" w:ascii="仿宋" w:hAnsi="仿宋" w:eastAsia="仿宋"/>
          <w:b/>
          <w:bCs/>
          <w:color w:val="auto"/>
          <w:sz w:val="28"/>
          <w:szCs w:val="28"/>
          <w:highlight w:val="none"/>
        </w:rPr>
      </w:pPr>
    </w:p>
    <w:p>
      <w:pPr>
        <w:jc w:val="center"/>
        <w:outlineLvl w:val="1"/>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color w:val="auto"/>
          <w:sz w:val="28"/>
          <w:szCs w:val="28"/>
          <w:highlight w:val="none"/>
        </w:rPr>
        <w:t>询价响应函</w:t>
      </w:r>
    </w:p>
    <w:p>
      <w:pPr>
        <w:spacing w:after="0" w:line="480" w:lineRule="exac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lang w:eastAsia="zh-CN"/>
        </w:rPr>
        <w:t>广州应用科技学院</w:t>
      </w:r>
    </w:p>
    <w:p>
      <w:pPr>
        <w:spacing w:after="0"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根据贵方为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项目的公开询价邀请（编号）: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，本签字代表</w:t>
      </w:r>
      <w:r>
        <w:rPr>
          <w:rFonts w:hint="eastAsia" w:ascii="仿宋" w:hAnsi="仿宋" w:eastAsia="仿宋"/>
          <w:color w:val="auto"/>
          <w:sz w:val="28"/>
          <w:szCs w:val="28"/>
          <w:highlight w:val="none"/>
          <w:u w:val="single"/>
        </w:rPr>
        <w:t>（全名、职务）</w:t>
      </w:r>
      <w:r>
        <w:rPr>
          <w:rFonts w:hint="eastAsia" w:ascii="仿宋" w:hAnsi="仿宋" w:eastAsia="仿宋"/>
          <w:color w:val="auto"/>
          <w:sz w:val="28"/>
          <w:szCs w:val="28"/>
          <w:highlight w:val="none"/>
        </w:rPr>
        <w:t>正式授权并代表我方</w:t>
      </w:r>
      <w:r>
        <w:rPr>
          <w:rFonts w:hint="eastAsia" w:ascii="仿宋" w:hAnsi="仿宋" w:eastAsia="仿宋"/>
          <w:color w:val="auto"/>
          <w:sz w:val="28"/>
          <w:szCs w:val="28"/>
          <w:highlight w:val="none"/>
          <w:u w:val="single"/>
        </w:rPr>
        <w:t>（参与人公司名称、地址）</w:t>
      </w:r>
      <w:r>
        <w:rPr>
          <w:rFonts w:hint="eastAsia" w:ascii="仿宋" w:hAnsi="仿宋" w:eastAsia="仿宋"/>
          <w:color w:val="auto"/>
          <w:sz w:val="28"/>
          <w:szCs w:val="28"/>
          <w:highlight w:val="none"/>
        </w:rPr>
        <w:t>提交下述文件正本</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份和副本</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份。</w:t>
      </w:r>
    </w:p>
    <w:p>
      <w:pPr>
        <w:spacing w:after="0" w:line="4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1</w:t>
      </w:r>
      <w:r>
        <w:rPr>
          <w:rFonts w:hint="eastAsia" w:ascii="仿宋" w:hAnsi="仿宋" w:eastAsia="仿宋"/>
          <w:color w:val="auto"/>
          <w:sz w:val="28"/>
          <w:szCs w:val="28"/>
          <w:highlight w:val="none"/>
        </w:rPr>
        <w:t>) 分项报价表</w:t>
      </w:r>
    </w:p>
    <w:p>
      <w:pPr>
        <w:spacing w:after="0" w:line="480" w:lineRule="exact"/>
        <w:ind w:firstLine="425" w:firstLineChars="15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2</w:t>
      </w:r>
      <w:r>
        <w:rPr>
          <w:rFonts w:hint="eastAsia" w:ascii="仿宋" w:hAnsi="仿宋" w:eastAsia="仿宋"/>
          <w:color w:val="auto"/>
          <w:sz w:val="28"/>
          <w:szCs w:val="28"/>
          <w:highlight w:val="none"/>
        </w:rPr>
        <w:t>) 参与人资格证明文件</w:t>
      </w:r>
    </w:p>
    <w:p>
      <w:pPr>
        <w:spacing w:after="0" w:line="480" w:lineRule="exact"/>
        <w:ind w:firstLine="57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3</w:t>
      </w:r>
      <w:r>
        <w:rPr>
          <w:rFonts w:hint="eastAsia" w:ascii="仿宋" w:hAnsi="仿宋" w:eastAsia="仿宋"/>
          <w:color w:val="auto"/>
          <w:sz w:val="28"/>
          <w:szCs w:val="28"/>
          <w:highlight w:val="none"/>
        </w:rPr>
        <w:t>) 质保期和售后服务承诺书</w:t>
      </w:r>
    </w:p>
    <w:p>
      <w:pPr>
        <w:spacing w:after="0" w:line="4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据此函，签字代表宣布同意如下：</w:t>
      </w:r>
    </w:p>
    <w:p>
      <w:pPr>
        <w:spacing w:after="0"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1.所附详细报价表中规定的应提供和交付的货物及服务报价总价（国内现场交货价）为人民币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，即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（中文表述）。</w:t>
      </w:r>
    </w:p>
    <w:p>
      <w:pPr>
        <w:spacing w:after="0" w:line="4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5</w:t>
      </w:r>
      <w:r>
        <w:rPr>
          <w:rFonts w:hint="eastAsia" w:ascii="仿宋" w:hAnsi="仿宋" w:eastAsia="仿宋"/>
          <w:color w:val="auto"/>
          <w:sz w:val="28"/>
          <w:szCs w:val="28"/>
          <w:highlight w:val="none"/>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6</w:t>
      </w:r>
      <w:r>
        <w:rPr>
          <w:rFonts w:hint="eastAsia" w:ascii="仿宋" w:hAnsi="仿宋" w:eastAsia="仿宋"/>
          <w:color w:val="auto"/>
          <w:sz w:val="28"/>
          <w:szCs w:val="28"/>
          <w:highlight w:val="none"/>
        </w:rPr>
        <w:t>.与本此公开询价有关的一切正式往来通讯请寄：</w:t>
      </w:r>
    </w:p>
    <w:p>
      <w:pPr>
        <w:spacing w:after="0" w:line="48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地址：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邮编： </w:t>
      </w:r>
      <w:r>
        <w:rPr>
          <w:rFonts w:hint="eastAsia" w:ascii="仿宋" w:hAnsi="仿宋" w:eastAsia="仿宋"/>
          <w:color w:val="auto"/>
          <w:sz w:val="28"/>
          <w:szCs w:val="28"/>
          <w:highlight w:val="none"/>
          <w:u w:val="single"/>
        </w:rPr>
        <w:t xml:space="preserve">                 </w:t>
      </w:r>
    </w:p>
    <w:p>
      <w:pPr>
        <w:spacing w:after="0" w:line="48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电话：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传真： </w:t>
      </w:r>
      <w:r>
        <w:rPr>
          <w:rFonts w:hint="eastAsia" w:ascii="仿宋" w:hAnsi="仿宋" w:eastAsia="仿宋"/>
          <w:color w:val="auto"/>
          <w:sz w:val="28"/>
          <w:szCs w:val="28"/>
          <w:highlight w:val="none"/>
          <w:u w:val="single"/>
        </w:rPr>
        <w:t xml:space="preserve">                 </w:t>
      </w:r>
    </w:p>
    <w:p>
      <w:pPr>
        <w:spacing w:after="0" w:line="48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参与人授权代表签字： </w:t>
      </w:r>
      <w:r>
        <w:rPr>
          <w:rFonts w:hint="eastAsia" w:ascii="仿宋" w:hAnsi="仿宋" w:eastAsia="仿宋"/>
          <w:color w:val="auto"/>
          <w:sz w:val="28"/>
          <w:szCs w:val="28"/>
          <w:highlight w:val="none"/>
          <w:u w:val="single"/>
        </w:rPr>
        <w:t xml:space="preserve">                </w:t>
      </w:r>
    </w:p>
    <w:p>
      <w:pPr>
        <w:spacing w:after="0"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参与人（公司全称并加盖公章）：</w:t>
      </w:r>
      <w:r>
        <w:rPr>
          <w:rFonts w:hint="eastAsia" w:ascii="仿宋" w:hAnsi="仿宋" w:eastAsia="仿宋"/>
          <w:color w:val="auto"/>
          <w:sz w:val="28"/>
          <w:szCs w:val="28"/>
          <w:highlight w:val="none"/>
          <w:u w:val="single"/>
        </w:rPr>
        <w:t xml:space="preserve">                       </w:t>
      </w:r>
    </w:p>
    <w:p>
      <w:pPr>
        <w:pStyle w:val="57"/>
        <w:spacing w:line="480" w:lineRule="exact"/>
        <w:jc w:val="left"/>
        <w:outlineLvl w:val="9"/>
        <w:rPr>
          <w:rFonts w:ascii="仿宋" w:hAnsi="仿宋" w:eastAsia="仿宋"/>
          <w:color w:val="auto"/>
          <w:szCs w:val="28"/>
          <w:highlight w:val="none"/>
        </w:rPr>
      </w:pPr>
      <w:r>
        <w:rPr>
          <w:rFonts w:hint="eastAsia" w:ascii="仿宋" w:hAnsi="仿宋" w:eastAsia="仿宋"/>
          <w:color w:val="auto"/>
          <w:szCs w:val="28"/>
          <w:highlight w:val="none"/>
        </w:rPr>
        <w:t xml:space="preserve">      日  期： </w:t>
      </w:r>
      <w:r>
        <w:rPr>
          <w:rFonts w:hint="eastAsia" w:ascii="仿宋" w:hAnsi="仿宋" w:eastAsia="仿宋"/>
          <w:color w:val="auto"/>
          <w:szCs w:val="28"/>
          <w:highlight w:val="none"/>
          <w:u w:val="single"/>
        </w:rPr>
        <w:t xml:space="preserve">    </w:t>
      </w:r>
      <w:r>
        <w:rPr>
          <w:rFonts w:hint="eastAsia" w:ascii="仿宋" w:hAnsi="仿宋" w:eastAsia="仿宋"/>
          <w:color w:val="auto"/>
          <w:szCs w:val="28"/>
          <w:highlight w:val="none"/>
        </w:rPr>
        <w:t xml:space="preserve">年 </w:t>
      </w:r>
      <w:r>
        <w:rPr>
          <w:rFonts w:hint="eastAsia" w:ascii="仿宋" w:hAnsi="仿宋" w:eastAsia="仿宋"/>
          <w:color w:val="auto"/>
          <w:szCs w:val="28"/>
          <w:highlight w:val="none"/>
          <w:u w:val="single"/>
        </w:rPr>
        <w:t xml:space="preserve">   </w:t>
      </w:r>
      <w:r>
        <w:rPr>
          <w:rFonts w:hint="eastAsia" w:ascii="仿宋" w:hAnsi="仿宋" w:eastAsia="仿宋"/>
          <w:color w:val="auto"/>
          <w:szCs w:val="28"/>
          <w:highlight w:val="none"/>
        </w:rPr>
        <w:t xml:space="preserve">月 </w:t>
      </w:r>
      <w:r>
        <w:rPr>
          <w:rFonts w:hint="eastAsia" w:ascii="仿宋" w:hAnsi="仿宋" w:eastAsia="仿宋"/>
          <w:color w:val="auto"/>
          <w:szCs w:val="28"/>
          <w:highlight w:val="none"/>
          <w:u w:val="single"/>
        </w:rPr>
        <w:t xml:space="preserve">   </w:t>
      </w:r>
      <w:r>
        <w:rPr>
          <w:rFonts w:hint="eastAsia" w:ascii="仿宋" w:hAnsi="仿宋" w:eastAsia="仿宋"/>
          <w:color w:val="auto"/>
          <w:szCs w:val="28"/>
          <w:highlight w:val="none"/>
        </w:rPr>
        <w:t>日</w:t>
      </w:r>
    </w:p>
    <w:p>
      <w:pPr>
        <w:rPr>
          <w:rFonts w:hint="eastAsia" w:ascii="仿宋" w:hAnsi="仿宋" w:eastAsia="仿宋" w:cs="Times New Roman"/>
          <w:color w:val="auto"/>
          <w:kern w:val="2"/>
          <w:sz w:val="28"/>
          <w:szCs w:val="28"/>
          <w:highlight w:val="none"/>
        </w:rPr>
      </w:pPr>
      <w:r>
        <w:rPr>
          <w:rFonts w:ascii="仿宋" w:hAnsi="仿宋" w:eastAsia="仿宋"/>
          <w:color w:val="auto"/>
          <w:szCs w:val="28"/>
          <w:highlight w:val="none"/>
        </w:rPr>
        <w:br w:type="page"/>
      </w:r>
    </w:p>
    <w:p>
      <w:pPr>
        <w:jc w:val="center"/>
        <w:outlineLvl w:val="1"/>
        <w:rPr>
          <w:rFonts w:ascii="仿宋" w:hAnsi="仿宋" w:eastAsia="仿宋"/>
          <w:b/>
          <w:bCs/>
          <w:color w:val="auto"/>
          <w:sz w:val="28"/>
          <w:szCs w:val="28"/>
          <w:highlight w:val="none"/>
        </w:rPr>
      </w:pPr>
      <w:r>
        <w:rPr>
          <w:rFonts w:ascii="仿宋" w:hAnsi="仿宋" w:eastAsia="仿宋"/>
          <w:b/>
          <w:bCs/>
          <w:color w:val="auto"/>
          <w:sz w:val="28"/>
          <w:szCs w:val="28"/>
          <w:highlight w:val="none"/>
        </w:rPr>
        <w:t>2</w:t>
      </w:r>
      <w:r>
        <w:rPr>
          <w:rFonts w:hint="eastAsia" w:ascii="仿宋" w:hAnsi="仿宋" w:eastAsia="仿宋"/>
          <w:b/>
          <w:bCs/>
          <w:color w:val="auto"/>
          <w:sz w:val="28"/>
          <w:szCs w:val="28"/>
          <w:highlight w:val="none"/>
        </w:rPr>
        <w:t>、分项报价一览表</w:t>
      </w:r>
    </w:p>
    <w:p>
      <w:pPr>
        <w:spacing w:line="380" w:lineRule="exact"/>
        <w:ind w:left="147" w:leftChars="67"/>
        <w:rPr>
          <w:rFonts w:ascii="仿宋" w:hAnsi="仿宋" w:eastAsia="仿宋"/>
          <w:color w:val="auto"/>
          <w:sz w:val="28"/>
          <w:szCs w:val="28"/>
          <w:highlight w:val="none"/>
        </w:rPr>
      </w:pPr>
      <w:r>
        <w:rPr>
          <w:rFonts w:hint="eastAsia" w:ascii="仿宋" w:hAnsi="仿宋" w:eastAsia="仿宋"/>
          <w:color w:val="auto"/>
          <w:sz w:val="28"/>
          <w:szCs w:val="28"/>
          <w:highlight w:val="none"/>
        </w:rPr>
        <w:t>参与人：</w:t>
      </w:r>
      <w:r>
        <w:rPr>
          <w:rFonts w:hint="eastAsia" w:ascii="仿宋" w:hAnsi="仿宋" w:eastAsia="仿宋"/>
          <w:color w:val="auto"/>
          <w:sz w:val="28"/>
          <w:szCs w:val="28"/>
          <w:highlight w:val="none"/>
          <w:lang w:val="zh-CN"/>
        </w:rPr>
        <w:t>（公司全称并加盖公章）</w:t>
      </w:r>
      <w:r>
        <w:rPr>
          <w:rFonts w:hint="eastAsia" w:ascii="仿宋" w:hAnsi="仿宋" w:eastAsia="仿宋"/>
          <w:color w:val="auto"/>
          <w:sz w:val="28"/>
          <w:szCs w:val="28"/>
          <w:highlight w:val="none"/>
        </w:rPr>
        <w:t xml:space="preserve">                   项目编号：</w:t>
      </w:r>
    </w:p>
    <w:p>
      <w:pPr>
        <w:spacing w:line="380" w:lineRule="exact"/>
        <w:ind w:left="147" w:leftChars="67"/>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货币单位：</w:t>
      </w:r>
      <w:r>
        <w:rPr>
          <w:rFonts w:hint="eastAsia" w:ascii="仿宋" w:hAnsi="仿宋" w:eastAsia="仿宋"/>
          <w:color w:val="auto"/>
          <w:sz w:val="28"/>
          <w:szCs w:val="28"/>
          <w:highlight w:val="none"/>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ahoma"/>
                <w:color w:val="auto"/>
                <w:sz w:val="20"/>
                <w:szCs w:val="20"/>
                <w:highlight w:val="none"/>
                <w:lang w:eastAsia="zh-CN"/>
              </w:rPr>
            </w:pPr>
            <w:r>
              <w:rPr>
                <w:rFonts w:hint="eastAsia" w:ascii="仿宋" w:hAnsi="仿宋" w:eastAsia="仿宋" w:cs="Tahoma"/>
                <w:color w:val="auto"/>
                <w:sz w:val="20"/>
                <w:szCs w:val="20"/>
                <w:highlight w:val="none"/>
                <w:lang w:val="en-US" w:eastAsia="zh-CN"/>
              </w:rPr>
              <w:t>数量</w:t>
            </w:r>
          </w:p>
        </w:tc>
        <w:tc>
          <w:tcPr>
            <w:tcW w:w="664"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ahoma"/>
                <w:color w:val="auto"/>
                <w:sz w:val="20"/>
                <w:szCs w:val="20"/>
                <w:highlight w:val="none"/>
                <w:lang w:eastAsia="zh-CN"/>
              </w:rPr>
            </w:pPr>
            <w:r>
              <w:rPr>
                <w:rFonts w:hint="eastAsia" w:ascii="仿宋" w:hAnsi="仿宋" w:eastAsia="仿宋" w:cs="Tahoma"/>
                <w:color w:val="auto"/>
                <w:sz w:val="20"/>
                <w:szCs w:val="20"/>
                <w:highlight w:val="none"/>
                <w:lang w:val="en-US" w:eastAsia="zh-CN"/>
              </w:rPr>
              <w:t>单位</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单价</w:t>
            </w:r>
          </w:p>
        </w:tc>
        <w:tc>
          <w:tcPr>
            <w:tcW w:w="1066"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ahoma"/>
                <w:color w:val="auto"/>
                <w:sz w:val="20"/>
                <w:szCs w:val="20"/>
                <w:highlight w:val="none"/>
                <w:lang w:val="en-US" w:eastAsia="zh-CN"/>
              </w:rPr>
            </w:pPr>
            <w:r>
              <w:rPr>
                <w:rFonts w:hint="eastAsia" w:ascii="仿宋" w:hAnsi="仿宋" w:eastAsia="仿宋" w:cs="Tahoma"/>
                <w:color w:val="auto"/>
                <w:sz w:val="20"/>
                <w:szCs w:val="20"/>
                <w:highlight w:val="none"/>
                <w:lang w:val="en-US" w:eastAsia="zh-CN"/>
              </w:rPr>
              <w:t>金额</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Tahoma"/>
                <w:color w:val="auto"/>
                <w:sz w:val="20"/>
                <w:szCs w:val="20"/>
                <w:highlight w:val="none"/>
                <w:lang w:eastAsia="zh-CN"/>
              </w:rPr>
            </w:pPr>
            <w:r>
              <w:rPr>
                <w:rFonts w:hint="eastAsia" w:ascii="仿宋" w:hAnsi="仿宋" w:eastAsia="仿宋" w:cs="Tahoma"/>
                <w:color w:val="auto"/>
                <w:sz w:val="20"/>
                <w:szCs w:val="20"/>
                <w:highlight w:val="none"/>
                <w:lang w:eastAsia="zh-CN"/>
              </w:rPr>
              <w:t>……</w:t>
            </w:r>
          </w:p>
        </w:tc>
        <w:tc>
          <w:tcPr>
            <w:tcW w:w="1331"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s="Tahoma"/>
                <w:color w:val="auto"/>
                <w:sz w:val="20"/>
                <w:szCs w:val="20"/>
                <w:highlight w:val="none"/>
                <w:lang w:eastAsia="zh-CN"/>
              </w:rPr>
            </w:pPr>
            <w:r>
              <w:rPr>
                <w:rFonts w:hint="eastAsia" w:ascii="仿宋" w:hAnsi="仿宋" w:eastAsia="仿宋" w:cs="Tahoma"/>
                <w:color w:val="auto"/>
                <w:sz w:val="20"/>
                <w:szCs w:val="20"/>
                <w:highlight w:val="none"/>
                <w:lang w:eastAsia="zh-CN"/>
              </w:rPr>
              <w:t>……</w:t>
            </w:r>
          </w:p>
        </w:tc>
        <w:tc>
          <w:tcPr>
            <w:tcW w:w="1735"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s="Tahoma"/>
                <w:color w:val="auto"/>
                <w:sz w:val="20"/>
                <w:szCs w:val="20"/>
                <w:highlight w:val="none"/>
                <w:lang w:eastAsia="zh-CN"/>
              </w:rPr>
            </w:pPr>
          </w:p>
        </w:tc>
        <w:tc>
          <w:tcPr>
            <w:tcW w:w="665" w:type="dxa"/>
            <w:tcBorders>
              <w:top w:val="nil"/>
              <w:left w:val="nil"/>
              <w:bottom w:val="single" w:color="auto" w:sz="4" w:space="0"/>
              <w:right w:val="single" w:color="auto" w:sz="4" w:space="0"/>
            </w:tcBorders>
            <w:vAlign w:val="center"/>
          </w:tcPr>
          <w:p>
            <w:pPr>
              <w:jc w:val="center"/>
              <w:rPr>
                <w:rFonts w:hint="eastAsia" w:ascii="仿宋" w:hAnsi="仿宋" w:eastAsia="仿宋" w:cs="Tahoma"/>
                <w:color w:val="auto"/>
                <w:sz w:val="20"/>
                <w:szCs w:val="20"/>
                <w:highlight w:val="none"/>
                <w:lang w:eastAsia="zh-CN"/>
              </w:rPr>
            </w:pPr>
          </w:p>
        </w:tc>
        <w:tc>
          <w:tcPr>
            <w:tcW w:w="664" w:type="dxa"/>
            <w:tcBorders>
              <w:top w:val="nil"/>
              <w:left w:val="nil"/>
              <w:bottom w:val="single" w:color="auto" w:sz="4" w:space="0"/>
              <w:right w:val="single" w:color="auto" w:sz="4" w:space="0"/>
            </w:tcBorders>
            <w:vAlign w:val="center"/>
          </w:tcPr>
          <w:p>
            <w:pPr>
              <w:jc w:val="center"/>
              <w:rPr>
                <w:rFonts w:hint="eastAsia" w:ascii="仿宋" w:hAnsi="仿宋" w:eastAsia="仿宋" w:cs="Tahoma"/>
                <w:color w:val="auto"/>
                <w:sz w:val="20"/>
                <w:szCs w:val="20"/>
                <w:highlight w:val="none"/>
                <w:lang w:eastAsia="zh-CN"/>
              </w:rPr>
            </w:pPr>
          </w:p>
        </w:tc>
        <w:tc>
          <w:tcPr>
            <w:tcW w:w="1198" w:type="dxa"/>
            <w:tcBorders>
              <w:top w:val="nil"/>
              <w:left w:val="nil"/>
              <w:bottom w:val="single" w:color="auto" w:sz="4" w:space="0"/>
              <w:right w:val="single" w:color="auto" w:sz="4" w:space="0"/>
            </w:tcBorders>
            <w:vAlign w:val="center"/>
          </w:tcPr>
          <w:p>
            <w:pPr>
              <w:jc w:val="center"/>
              <w:rPr>
                <w:rFonts w:hint="eastAsia" w:ascii="仿宋" w:hAnsi="仿宋" w:eastAsia="仿宋" w:cs="Tahoma"/>
                <w:color w:val="auto"/>
                <w:sz w:val="20"/>
                <w:szCs w:val="20"/>
                <w:highlight w:val="none"/>
                <w:lang w:val="en-US" w:eastAsia="zh-CN"/>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auto"/>
                <w:sz w:val="20"/>
                <w:szCs w:val="20"/>
                <w:highlight w:val="none"/>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auto"/>
                <w:sz w:val="20"/>
                <w:szCs w:val="20"/>
                <w:highlight w:val="none"/>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auto"/>
                <w:sz w:val="20"/>
                <w:szCs w:val="20"/>
                <w:highlight w:val="none"/>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auto"/>
                <w:sz w:val="20"/>
                <w:szCs w:val="20"/>
                <w:highlight w:val="none"/>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r>
      <w:tr>
        <w:tblPrEx>
          <w:tblCellMar>
            <w:top w:w="0" w:type="dxa"/>
            <w:left w:w="108" w:type="dxa"/>
            <w:bottom w:w="0" w:type="dxa"/>
            <w:right w:w="108" w:type="dxa"/>
          </w:tblCellMar>
        </w:tblPrEx>
        <w:trPr>
          <w:trHeight w:val="483"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r>
              <w:rPr>
                <w:rFonts w:hint="eastAsia" w:ascii="仿宋" w:hAnsi="仿宋" w:eastAsia="仿宋" w:cs="Tahoma"/>
                <w:color w:val="auto"/>
                <w:sz w:val="20"/>
                <w:szCs w:val="20"/>
                <w:highlight w:val="none"/>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auto"/>
                <w:sz w:val="20"/>
                <w:szCs w:val="20"/>
                <w:highlight w:val="none"/>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s="Tahoma"/>
                <w:color w:val="auto"/>
                <w:sz w:val="20"/>
                <w:szCs w:val="20"/>
                <w:highlight w:val="none"/>
                <w:lang w:eastAsia="zh-CN"/>
              </w:rPr>
            </w:pPr>
            <w:r>
              <w:rPr>
                <w:rFonts w:hint="eastAsia" w:ascii="仿宋" w:hAnsi="仿宋" w:eastAsia="仿宋" w:cs="Tahoma"/>
                <w:color w:val="auto"/>
                <w:sz w:val="20"/>
                <w:szCs w:val="20"/>
                <w:highlight w:val="none"/>
                <w:lang w:eastAsia="zh-CN"/>
              </w:rPr>
              <w:t>……</w:t>
            </w:r>
          </w:p>
        </w:tc>
        <w:tc>
          <w:tcPr>
            <w:tcW w:w="1438"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Tahoma"/>
                <w:color w:val="auto"/>
                <w:sz w:val="20"/>
                <w:szCs w:val="20"/>
                <w:highlight w:val="none"/>
                <w:lang w:eastAsia="zh-CN"/>
              </w:rPr>
            </w:pPr>
            <w:r>
              <w:rPr>
                <w:rFonts w:hint="eastAsia" w:ascii="仿宋" w:hAnsi="仿宋" w:eastAsia="仿宋" w:cs="Tahoma"/>
                <w:color w:val="auto"/>
                <w:sz w:val="20"/>
                <w:szCs w:val="20"/>
                <w:highlight w:val="none"/>
                <w:lang w:eastAsia="zh-CN"/>
              </w:rPr>
              <w:t>……</w:t>
            </w:r>
          </w:p>
        </w:tc>
        <w:tc>
          <w:tcPr>
            <w:tcW w:w="1331"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s="Tahoma"/>
                <w:color w:val="auto"/>
                <w:sz w:val="20"/>
                <w:szCs w:val="20"/>
                <w:highlight w:val="none"/>
                <w:lang w:eastAsia="zh-CN"/>
              </w:rPr>
            </w:pPr>
            <w:r>
              <w:rPr>
                <w:rFonts w:hint="eastAsia" w:ascii="仿宋" w:hAnsi="仿宋" w:eastAsia="仿宋" w:cs="Tahoma"/>
                <w:color w:val="auto"/>
                <w:sz w:val="20"/>
                <w:szCs w:val="20"/>
                <w:highlight w:val="none"/>
                <w:lang w:eastAsia="zh-CN"/>
              </w:rPr>
              <w:t>……</w:t>
            </w: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ahoma"/>
                <w:color w:val="auto"/>
                <w:sz w:val="20"/>
                <w:szCs w:val="20"/>
                <w:highlight w:val="none"/>
                <w:lang w:eastAsia="zh-CN"/>
              </w:rPr>
            </w:pPr>
            <w:r>
              <w:rPr>
                <w:rFonts w:hint="eastAsia" w:ascii="仿宋" w:hAnsi="仿宋" w:eastAsia="仿宋" w:cs="Tahoma"/>
                <w:color w:val="auto"/>
                <w:sz w:val="20"/>
                <w:szCs w:val="20"/>
                <w:highlight w:val="none"/>
              </w:rPr>
              <w:t>合 计</w:t>
            </w:r>
            <w:r>
              <w:rPr>
                <w:rFonts w:hint="eastAsia" w:ascii="仿宋" w:hAnsi="仿宋" w:eastAsia="仿宋" w:cs="Tahoma"/>
                <w:color w:val="auto"/>
                <w:sz w:val="20"/>
                <w:szCs w:val="20"/>
                <w:highlight w:val="none"/>
                <w:lang w:eastAsia="zh-CN"/>
              </w:rPr>
              <w:t>（</w:t>
            </w:r>
            <w:r>
              <w:rPr>
                <w:rFonts w:hint="eastAsia" w:ascii="仿宋" w:hAnsi="仿宋" w:eastAsia="仿宋" w:cs="Tahoma"/>
                <w:color w:val="auto"/>
                <w:sz w:val="20"/>
                <w:szCs w:val="20"/>
                <w:highlight w:val="none"/>
                <w:lang w:val="en-US" w:eastAsia="zh-CN"/>
              </w:rPr>
              <w:t>含税</w:t>
            </w:r>
            <w:r>
              <w:rPr>
                <w:rFonts w:hint="eastAsia" w:ascii="仿宋" w:hAnsi="仿宋" w:eastAsia="仿宋" w:cs="Tahoma"/>
                <w:color w:val="auto"/>
                <w:sz w:val="20"/>
                <w:szCs w:val="20"/>
                <w:highlight w:val="none"/>
                <w:lang w:eastAsia="zh-CN"/>
              </w:rPr>
              <w:t>）</w:t>
            </w:r>
          </w:p>
        </w:tc>
        <w:tc>
          <w:tcPr>
            <w:tcW w:w="4258" w:type="dxa"/>
            <w:gridSpan w:val="5"/>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auto"/>
                <w:sz w:val="20"/>
                <w:szCs w:val="20"/>
                <w:highlight w:val="none"/>
              </w:rPr>
            </w:pPr>
          </w:p>
        </w:tc>
      </w:tr>
    </w:tbl>
    <w:p>
      <w:pPr>
        <w:spacing w:before="156" w:beforeLines="50" w:after="78" w:afterLines="25" w:line="240" w:lineRule="auto"/>
        <w:jc w:val="left"/>
        <w:outlineLvl w:val="1"/>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注：</w:t>
      </w:r>
    </w:p>
    <w:p>
      <w:pPr>
        <w:keepNext w:val="0"/>
        <w:keepLines w:val="0"/>
        <w:pageBreakBefore w:val="0"/>
        <w:widowControl/>
        <w:kinsoku/>
        <w:wordWrap/>
        <w:overflowPunct/>
        <w:topLinePunct w:val="0"/>
        <w:autoSpaceDE/>
        <w:autoSpaceDN/>
        <w:bidi w:val="0"/>
        <w:adjustRightInd/>
        <w:snapToGrid w:val="0"/>
        <w:spacing w:before="156" w:beforeLines="50" w:after="78" w:afterLines="25" w:line="440" w:lineRule="exact"/>
        <w:jc w:val="left"/>
        <w:textAlignment w:val="auto"/>
        <w:outlineLvl w:val="1"/>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（1）所有报价商品需要提供品牌、规格型号等真实详细信息，否则将视为没有实质性响应公开询价文件；</w:t>
      </w:r>
    </w:p>
    <w:p>
      <w:pPr>
        <w:keepNext w:val="0"/>
        <w:keepLines w:val="0"/>
        <w:pageBreakBefore w:val="0"/>
        <w:widowControl/>
        <w:kinsoku/>
        <w:wordWrap/>
        <w:overflowPunct/>
        <w:topLinePunct w:val="0"/>
        <w:autoSpaceDE/>
        <w:autoSpaceDN/>
        <w:bidi w:val="0"/>
        <w:adjustRightInd/>
        <w:snapToGrid w:val="0"/>
        <w:spacing w:before="156" w:beforeLines="50" w:after="78" w:afterLines="25" w:line="440" w:lineRule="exact"/>
        <w:jc w:val="left"/>
        <w:textAlignment w:val="auto"/>
        <w:outlineLvl w:val="1"/>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（2）所有报价商品需注明保修期不低于5年；</w:t>
      </w:r>
    </w:p>
    <w:p>
      <w:pPr>
        <w:keepNext w:val="0"/>
        <w:keepLines w:val="0"/>
        <w:pageBreakBefore w:val="0"/>
        <w:widowControl/>
        <w:kinsoku/>
        <w:wordWrap/>
        <w:overflowPunct/>
        <w:topLinePunct w:val="0"/>
        <w:autoSpaceDE/>
        <w:autoSpaceDN/>
        <w:bidi w:val="0"/>
        <w:adjustRightInd/>
        <w:snapToGrid w:val="0"/>
        <w:spacing w:before="156" w:beforeLines="50" w:after="78" w:afterLines="25" w:line="440" w:lineRule="exact"/>
        <w:jc w:val="left"/>
        <w:textAlignment w:val="auto"/>
        <w:outlineLvl w:val="1"/>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（3）以上产品的报价应包含税费、运输费、搬运费、安装材料费、安装人工费、售后服务等一切费用。</w:t>
      </w:r>
    </w:p>
    <w:p>
      <w:pPr>
        <w:spacing w:before="156" w:beforeLines="50" w:after="78" w:afterLines="25" w:line="240" w:lineRule="auto"/>
        <w:jc w:val="left"/>
        <w:outlineLvl w:val="1"/>
        <w:rPr>
          <w:rFonts w:hint="eastAsia" w:ascii="仿宋" w:hAnsi="仿宋" w:eastAsia="仿宋"/>
          <w:color w:val="auto"/>
          <w:sz w:val="28"/>
          <w:szCs w:val="28"/>
          <w:highlight w:val="none"/>
          <w:lang w:val="en-US" w:eastAsia="zh-CN"/>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color w:val="auto"/>
          <w:sz w:val="28"/>
          <w:szCs w:val="28"/>
          <w:highlight w:val="none"/>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p>
    <w:p>
      <w:pPr>
        <w:spacing w:line="360" w:lineRule="auto"/>
        <w:ind w:right="960"/>
        <w:jc w:val="both"/>
        <w:rPr>
          <w:rFonts w:hint="eastAsia" w:ascii="仿宋" w:hAnsi="仿宋" w:eastAsia="仿宋"/>
          <w:color w:val="auto"/>
          <w:sz w:val="28"/>
          <w:szCs w:val="28"/>
          <w:highlight w:val="none"/>
          <w:lang w:val="zh-CN"/>
        </w:rPr>
      </w:pPr>
    </w:p>
    <w:p>
      <w:pPr>
        <w:spacing w:line="360" w:lineRule="auto"/>
        <w:ind w:right="960"/>
        <w:jc w:val="both"/>
        <w:rPr>
          <w:rFonts w:hint="eastAsia" w:ascii="仿宋" w:hAnsi="仿宋" w:eastAsia="仿宋"/>
          <w:color w:val="auto"/>
          <w:sz w:val="28"/>
          <w:szCs w:val="28"/>
          <w:highlight w:val="none"/>
          <w:lang w:val="zh-CN"/>
        </w:rPr>
      </w:pPr>
    </w:p>
    <w:p>
      <w:pPr>
        <w:spacing w:line="360" w:lineRule="auto"/>
        <w:ind w:right="960" w:firstLine="4200" w:firstLineChars="1500"/>
        <w:jc w:val="both"/>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参与人授权代表</w:t>
      </w:r>
      <w:r>
        <w:rPr>
          <w:rFonts w:ascii="仿宋" w:hAnsi="仿宋" w:eastAsia="仿宋"/>
          <w:color w:val="auto"/>
          <w:sz w:val="28"/>
          <w:szCs w:val="28"/>
          <w:highlight w:val="none"/>
          <w:lang w:val="zh-CN"/>
        </w:rPr>
        <w:t>（签字</w:t>
      </w:r>
      <w:r>
        <w:rPr>
          <w:rFonts w:hint="eastAsia" w:ascii="仿宋" w:hAnsi="仿宋" w:eastAsia="仿宋"/>
          <w:color w:val="auto"/>
          <w:sz w:val="28"/>
          <w:szCs w:val="28"/>
          <w:highlight w:val="none"/>
          <w:lang w:val="zh-CN"/>
        </w:rPr>
        <w:t>或盖章</w:t>
      </w:r>
      <w:r>
        <w:rPr>
          <w:rFonts w:ascii="仿宋" w:hAnsi="仿宋" w:eastAsia="仿宋"/>
          <w:color w:val="auto"/>
          <w:sz w:val="28"/>
          <w:szCs w:val="28"/>
          <w:highlight w:val="none"/>
          <w:lang w:val="zh-CN"/>
        </w:rPr>
        <w:t>）：</w:t>
      </w:r>
    </w:p>
    <w:p>
      <w:pPr>
        <w:spacing w:line="380" w:lineRule="exact"/>
        <w:ind w:right="1120" w:firstLine="4200" w:firstLineChars="1500"/>
        <w:outlineLvl w:val="2"/>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 xml:space="preserve">日 </w:t>
      </w:r>
      <w:r>
        <w:rPr>
          <w:rFonts w:ascii="仿宋" w:hAnsi="仿宋" w:eastAsia="仿宋"/>
          <w:color w:val="auto"/>
          <w:sz w:val="28"/>
          <w:szCs w:val="28"/>
          <w:highlight w:val="none"/>
          <w:lang w:val="zh-CN"/>
        </w:rPr>
        <w:t xml:space="preserve">        </w:t>
      </w:r>
      <w:r>
        <w:rPr>
          <w:rFonts w:hint="eastAsia" w:ascii="仿宋" w:hAnsi="仿宋" w:eastAsia="仿宋"/>
          <w:color w:val="auto"/>
          <w:sz w:val="28"/>
          <w:szCs w:val="28"/>
          <w:highlight w:val="none"/>
          <w:lang w:val="zh-CN"/>
        </w:rPr>
        <w:t>期：</w:t>
      </w:r>
      <w:bookmarkStart w:id="119" w:name="_Toc273178703"/>
      <w:bookmarkStart w:id="120" w:name="_Toc258401265"/>
      <w:bookmarkStart w:id="121" w:name="_Toc213755864"/>
      <w:bookmarkStart w:id="122" w:name="_Toc191789334"/>
      <w:bookmarkStart w:id="123" w:name="_Toc259520874"/>
      <w:bookmarkStart w:id="124" w:name="_Toc217891408"/>
      <w:bookmarkStart w:id="125" w:name="_Toc193160453"/>
      <w:bookmarkStart w:id="126" w:name="_Toc225669328"/>
      <w:bookmarkStart w:id="127" w:name="_Toc192663691"/>
      <w:bookmarkStart w:id="128" w:name="_Toc192664158"/>
      <w:bookmarkStart w:id="129" w:name="_Toc230071153"/>
      <w:bookmarkStart w:id="130" w:name="_Toc232302122"/>
      <w:bookmarkStart w:id="131" w:name="_Toc213756057"/>
      <w:bookmarkStart w:id="132" w:name="_Toc219800249"/>
      <w:bookmarkStart w:id="133" w:name="_Toc266870441"/>
      <w:bookmarkStart w:id="134" w:name="_Toc177985474"/>
      <w:bookmarkStart w:id="135" w:name="_Toc182372787"/>
      <w:bookmarkStart w:id="136" w:name="_Toc160880534"/>
      <w:bookmarkStart w:id="137" w:name="_Toc249325720"/>
      <w:bookmarkStart w:id="138" w:name="_Toc251586241"/>
      <w:bookmarkStart w:id="139" w:name="_Toc193165739"/>
      <w:bookmarkStart w:id="140" w:name="_Toc266870839"/>
      <w:bookmarkStart w:id="141" w:name="_Toc267059811"/>
      <w:bookmarkStart w:id="142" w:name="_Toc211917121"/>
      <w:bookmarkStart w:id="143" w:name="_Toc267059186"/>
      <w:bookmarkStart w:id="144" w:name="_Toc267059035"/>
      <w:bookmarkStart w:id="145" w:name="_Toc213756001"/>
      <w:bookmarkStart w:id="146" w:name="_Toc236021457"/>
      <w:bookmarkStart w:id="147" w:name="_Toc227058536"/>
      <w:bookmarkStart w:id="148" w:name="_Toc181436466"/>
      <w:bookmarkStart w:id="149" w:name="_Toc251613839"/>
      <w:bookmarkStart w:id="150" w:name="_Toc267060326"/>
      <w:bookmarkStart w:id="151" w:name="_Toc235438352"/>
      <w:bookmarkStart w:id="152" w:name="_Toc253066624"/>
      <w:bookmarkStart w:id="153" w:name="_Toc180302918"/>
      <w:bookmarkStart w:id="154" w:name="_Toc192663840"/>
      <w:bookmarkStart w:id="155" w:name="_Toc267060216"/>
      <w:bookmarkStart w:id="156" w:name="_Toc255975016"/>
      <w:bookmarkStart w:id="157" w:name="_Toc267060076"/>
      <w:bookmarkStart w:id="158" w:name="_Toc191802695"/>
      <w:bookmarkStart w:id="159" w:name="_Toc192996451"/>
      <w:bookmarkStart w:id="160" w:name="_Toc181436570"/>
      <w:bookmarkStart w:id="161" w:name="_Toc266868943"/>
      <w:bookmarkStart w:id="162" w:name="_Toc267059924"/>
      <w:bookmarkStart w:id="163" w:name="_Toc266870916"/>
      <w:bookmarkStart w:id="164" w:name="_Toc203355738"/>
      <w:bookmarkStart w:id="165" w:name="_Toc213208771"/>
      <w:bookmarkStart w:id="166" w:name="_Toc191783227"/>
      <w:bookmarkStart w:id="167" w:name="_Toc254790909"/>
      <w:bookmarkStart w:id="168" w:name="_Toc267059544"/>
      <w:bookmarkStart w:id="169" w:name="_Toc267060461"/>
      <w:bookmarkStart w:id="170" w:name="_Toc191803631"/>
      <w:bookmarkStart w:id="171" w:name="_Toc160880165"/>
      <w:bookmarkStart w:id="172" w:name="_Toc259692749"/>
      <w:bookmarkStart w:id="173" w:name="_Toc235437998"/>
      <w:bookmarkStart w:id="174" w:name="_Toc213755945"/>
      <w:bookmarkStart w:id="175" w:name="_Toc169332954"/>
      <w:bookmarkStart w:id="176" w:name="_Toc169332843"/>
      <w:bookmarkStart w:id="177" w:name="_Toc266868679"/>
      <w:bookmarkStart w:id="178" w:name="_Toc235438281"/>
      <w:bookmarkStart w:id="179" w:name="_Toc223146614"/>
      <w:bookmarkStart w:id="180" w:name="_Toc170798798"/>
      <w:bookmarkStart w:id="181" w:name="_Toc182805222"/>
      <w:bookmarkStart w:id="182" w:name="_Toc192996343"/>
      <w:bookmarkStart w:id="183" w:name="_Toc267059658"/>
      <w:bookmarkStart w:id="184" w:name="_Toc259692656"/>
    </w:p>
    <w:p>
      <w:pPr>
        <w:spacing w:line="380" w:lineRule="exact"/>
        <w:ind w:right="1120" w:firstLine="4200" w:firstLineChars="1500"/>
        <w:outlineLvl w:val="2"/>
        <w:rPr>
          <w:rFonts w:ascii="仿宋" w:hAnsi="仿宋" w:eastAsia="仿宋"/>
          <w:bCs/>
          <w:color w:val="auto"/>
          <w:sz w:val="28"/>
          <w:szCs w:val="28"/>
          <w:highlight w:val="none"/>
          <w:u w:val="single"/>
        </w:rPr>
      </w:pPr>
    </w:p>
    <w:p>
      <w:pPr>
        <w:jc w:val="center"/>
        <w:outlineLvl w:val="1"/>
        <w:rPr>
          <w:rFonts w:ascii="仿宋" w:hAnsi="仿宋" w:eastAsia="仿宋"/>
          <w:b/>
          <w:color w:val="auto"/>
          <w:sz w:val="28"/>
          <w:szCs w:val="28"/>
          <w:highlight w:val="none"/>
        </w:rPr>
      </w:pPr>
      <w:r>
        <w:rPr>
          <w:rFonts w:ascii="仿宋" w:hAnsi="仿宋" w:eastAsia="仿宋"/>
          <w:b/>
          <w:bCs/>
          <w:color w:val="auto"/>
          <w:sz w:val="28"/>
          <w:szCs w:val="28"/>
          <w:highlight w:val="none"/>
        </w:rPr>
        <w:t>3</w:t>
      </w:r>
      <w:r>
        <w:rPr>
          <w:rFonts w:hint="eastAsia" w:ascii="仿宋" w:hAnsi="仿宋" w:eastAsia="仿宋"/>
          <w:b/>
          <w:bCs/>
          <w:color w:val="auto"/>
          <w:sz w:val="28"/>
          <w:szCs w:val="28"/>
          <w:highlight w:val="none"/>
        </w:rPr>
        <w:t>、参与人的资格证明文件</w:t>
      </w:r>
    </w:p>
    <w:p>
      <w:pPr>
        <w:pStyle w:val="57"/>
        <w:rPr>
          <w:rFonts w:ascii="仿宋" w:hAnsi="仿宋" w:eastAsia="仿宋"/>
          <w:color w:val="auto"/>
          <w:szCs w:val="28"/>
          <w:highlight w:val="none"/>
        </w:rPr>
      </w:pPr>
    </w:p>
    <w:p>
      <w:pPr>
        <w:spacing w:line="380" w:lineRule="exact"/>
        <w:jc w:val="center"/>
        <w:outlineLvl w:val="2"/>
        <w:rPr>
          <w:rFonts w:ascii="仿宋" w:hAnsi="仿宋" w:eastAsia="仿宋"/>
          <w:b/>
          <w:color w:val="auto"/>
          <w:sz w:val="28"/>
          <w:szCs w:val="28"/>
          <w:highlight w:val="none"/>
        </w:rPr>
      </w:pPr>
      <w:bookmarkStart w:id="185" w:name="_Toc266870917"/>
      <w:bookmarkStart w:id="186" w:name="_Toc255975017"/>
      <w:bookmarkStart w:id="187" w:name="_Toc236021458"/>
      <w:bookmarkStart w:id="188" w:name="_Toc232302123"/>
      <w:bookmarkStart w:id="189" w:name="_Toc259692657"/>
      <w:bookmarkStart w:id="190" w:name="_Toc267060462"/>
      <w:bookmarkStart w:id="191" w:name="_Toc235438353"/>
      <w:bookmarkStart w:id="192" w:name="_Toc249325721"/>
      <w:bookmarkStart w:id="193" w:name="_Toc251586242"/>
      <w:bookmarkStart w:id="194" w:name="_Toc267060077"/>
      <w:bookmarkStart w:id="195" w:name="_Toc258401266"/>
      <w:bookmarkStart w:id="196" w:name="_Toc223146615"/>
      <w:bookmarkStart w:id="197" w:name="_Toc253066625"/>
      <w:bookmarkStart w:id="198" w:name="_Toc227058537"/>
      <w:bookmarkStart w:id="199" w:name="_Toc259520875"/>
      <w:bookmarkStart w:id="200" w:name="_Toc267060217"/>
      <w:bookmarkStart w:id="201" w:name="_Toc213756058"/>
      <w:bookmarkStart w:id="202" w:name="_Toc266870442"/>
      <w:bookmarkStart w:id="203" w:name="_Toc259692750"/>
      <w:bookmarkStart w:id="204" w:name="_Toc225669329"/>
      <w:bookmarkStart w:id="205" w:name="_Toc230071154"/>
      <w:bookmarkStart w:id="206" w:name="_Toc219800250"/>
      <w:bookmarkStart w:id="207" w:name="_Toc235437999"/>
      <w:bookmarkStart w:id="208" w:name="_Toc251613840"/>
      <w:bookmarkStart w:id="209" w:name="_Toc217891409"/>
      <w:bookmarkStart w:id="210" w:name="_Toc266868680"/>
      <w:bookmarkStart w:id="211" w:name="_Toc235438282"/>
      <w:bookmarkStart w:id="212" w:name="_Toc254790910"/>
      <w:r>
        <w:rPr>
          <w:rFonts w:ascii="仿宋" w:hAnsi="仿宋" w:eastAsia="仿宋"/>
          <w:b/>
          <w:color w:val="auto"/>
          <w:sz w:val="28"/>
          <w:szCs w:val="28"/>
          <w:highlight w:val="none"/>
        </w:rPr>
        <w:t>3</w:t>
      </w:r>
      <w:r>
        <w:rPr>
          <w:rFonts w:hint="eastAsia" w:ascii="仿宋" w:hAnsi="仿宋" w:eastAsia="仿宋"/>
          <w:b/>
          <w:color w:val="auto"/>
          <w:sz w:val="28"/>
          <w:szCs w:val="28"/>
          <w:highlight w:val="none"/>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color w:val="auto"/>
          <w:sz w:val="28"/>
          <w:szCs w:val="28"/>
          <w:highlight w:val="none"/>
        </w:rPr>
        <w:cr/>
      </w:r>
    </w:p>
    <w:p>
      <w:pPr>
        <w:spacing w:after="0" w:line="500" w:lineRule="exact"/>
        <w:rPr>
          <w:rFonts w:ascii="仿宋" w:hAnsi="仿宋" w:eastAsia="仿宋"/>
          <w:color w:val="auto"/>
          <w:sz w:val="28"/>
          <w:szCs w:val="28"/>
          <w:highlight w:val="none"/>
        </w:rPr>
      </w:pPr>
      <w:bookmarkStart w:id="213" w:name="_Hlk511663739"/>
      <w:r>
        <w:rPr>
          <w:rFonts w:hint="eastAsia" w:ascii="仿宋" w:hAnsi="仿宋" w:eastAsia="仿宋"/>
          <w:color w:val="auto"/>
          <w:sz w:val="28"/>
          <w:szCs w:val="28"/>
          <w:highlight w:val="none"/>
          <w:lang w:eastAsia="zh-CN"/>
        </w:rPr>
        <w:t>广州应用科技学院</w:t>
      </w:r>
      <w:r>
        <w:rPr>
          <w:rFonts w:hint="eastAsia" w:ascii="仿宋" w:hAnsi="仿宋" w:eastAsia="仿宋"/>
          <w:color w:val="auto"/>
          <w:sz w:val="28"/>
          <w:szCs w:val="28"/>
          <w:highlight w:val="none"/>
        </w:rPr>
        <w:t>：</w:t>
      </w:r>
      <w:bookmarkEnd w:id="213"/>
    </w:p>
    <w:p>
      <w:pPr>
        <w:spacing w:after="0" w:line="50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关于贵方</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（项目编号）公开询价邀请，本签字人愿意参加本次报价，提供公开询价文件中规定的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货物，并证明提交的下列文件和说明是准确的和真实的。</w:t>
      </w:r>
    </w:p>
    <w:p>
      <w:pPr>
        <w:spacing w:after="0"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2．我方的资格声明正本</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份，副本</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份，随报价响应文件一同递交。</w:t>
      </w:r>
    </w:p>
    <w:p>
      <w:pPr>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pacing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参与人（</w:t>
      </w:r>
      <w:r>
        <w:rPr>
          <w:rFonts w:hint="eastAsia" w:ascii="仿宋" w:hAnsi="仿宋" w:eastAsia="仿宋"/>
          <w:color w:val="auto"/>
          <w:sz w:val="28"/>
          <w:szCs w:val="28"/>
          <w:highlight w:val="none"/>
          <w:lang w:val="zh-CN"/>
        </w:rPr>
        <w:t>公司全称并加盖公章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地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址：</w:t>
      </w:r>
      <w:r>
        <w:rPr>
          <w:rFonts w:hint="eastAsia" w:ascii="仿宋" w:hAnsi="仿宋" w:eastAsia="仿宋"/>
          <w:color w:val="auto"/>
          <w:sz w:val="28"/>
          <w:szCs w:val="28"/>
          <w:highlight w:val="none"/>
          <w:u w:val="single"/>
        </w:rPr>
        <w:t xml:space="preserve">                       </w:t>
      </w:r>
    </w:p>
    <w:p>
      <w:pPr>
        <w:spacing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邮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编：</w:t>
      </w:r>
      <w:r>
        <w:rPr>
          <w:rFonts w:hint="eastAsia" w:ascii="仿宋" w:hAnsi="仿宋" w:eastAsia="仿宋"/>
          <w:color w:val="auto"/>
          <w:sz w:val="28"/>
          <w:szCs w:val="28"/>
          <w:highlight w:val="none"/>
          <w:u w:val="single"/>
        </w:rPr>
        <w:t xml:space="preserve">                       </w:t>
      </w:r>
    </w:p>
    <w:p>
      <w:pPr>
        <w:spacing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电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话或传  真：</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参与人授权代表：</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bookmarkStart w:id="214" w:name="_Toc254790911"/>
      <w:bookmarkStart w:id="215" w:name="_Toc236021459"/>
      <w:bookmarkStart w:id="216" w:name="_Toc253066626"/>
      <w:bookmarkStart w:id="217" w:name="_Toc213756059"/>
      <w:bookmarkStart w:id="218" w:name="_Toc259692751"/>
      <w:bookmarkStart w:id="219" w:name="_Toc259692658"/>
      <w:bookmarkStart w:id="220" w:name="_Toc255975018"/>
      <w:bookmarkStart w:id="221" w:name="_Toc266870443"/>
      <w:bookmarkStart w:id="222" w:name="_Toc266868681"/>
      <w:bookmarkStart w:id="223" w:name="_Toc249325722"/>
      <w:bookmarkStart w:id="224" w:name="_Toc232302124"/>
      <w:bookmarkStart w:id="225" w:name="_Toc266870918"/>
      <w:bookmarkStart w:id="226" w:name="_Toc225669330"/>
      <w:bookmarkStart w:id="227" w:name="_Toc235438283"/>
      <w:bookmarkStart w:id="228" w:name="_Toc258401267"/>
      <w:bookmarkStart w:id="229" w:name="_Toc259520876"/>
      <w:bookmarkStart w:id="230" w:name="_Toc230071155"/>
      <w:bookmarkStart w:id="231" w:name="_Toc251586243"/>
      <w:bookmarkStart w:id="232" w:name="_Toc223146616"/>
      <w:bookmarkStart w:id="233" w:name="_Toc235438354"/>
      <w:bookmarkStart w:id="234" w:name="_Toc217891410"/>
      <w:bookmarkStart w:id="235" w:name="_Toc235438000"/>
      <w:bookmarkStart w:id="236" w:name="_Toc227058538"/>
      <w:bookmarkStart w:id="237" w:name="_Toc251613841"/>
      <w:bookmarkStart w:id="238" w:name="_Toc219800251"/>
    </w:p>
    <w:p>
      <w:pPr>
        <w:jc w:val="center"/>
        <w:outlineLvl w:val="1"/>
        <w:rPr>
          <w:rFonts w:hint="eastAsia" w:ascii="仿宋" w:hAnsi="仿宋" w:eastAsia="仿宋"/>
          <w:b/>
          <w:color w:val="auto"/>
          <w:sz w:val="28"/>
          <w:szCs w:val="28"/>
          <w:highlight w:val="none"/>
        </w:rPr>
      </w:pPr>
      <w:r>
        <w:rPr>
          <w:rFonts w:ascii="仿宋" w:hAnsi="仿宋" w:eastAsia="仿宋"/>
          <w:color w:val="auto"/>
          <w:sz w:val="28"/>
          <w:szCs w:val="28"/>
          <w:highlight w:val="none"/>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highlight w:val="none"/>
        </w:rPr>
      </w:pPr>
      <w:r>
        <w:rPr>
          <w:rFonts w:ascii="仿宋" w:hAnsi="仿宋" w:eastAsia="仿宋"/>
          <w:b/>
          <w:color w:val="auto"/>
          <w:sz w:val="28"/>
          <w:szCs w:val="28"/>
          <w:highlight w:val="none"/>
        </w:rPr>
        <w:t>3</w:t>
      </w:r>
      <w:r>
        <w:rPr>
          <w:rFonts w:hint="eastAsia" w:ascii="仿宋" w:hAnsi="仿宋" w:eastAsia="仿宋"/>
          <w:b/>
          <w:color w:val="auto"/>
          <w:sz w:val="28"/>
          <w:szCs w:val="28"/>
          <w:highlight w:val="none"/>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highlight w:val="none"/>
        </w:rPr>
        <w:t>2</w:t>
      </w:r>
      <w:r>
        <w:rPr>
          <w:rFonts w:hint="eastAsia" w:ascii="仿宋" w:hAnsi="仿宋" w:eastAsia="仿宋"/>
          <w:b/>
          <w:bCs/>
          <w:color w:val="auto"/>
          <w:sz w:val="28"/>
          <w:szCs w:val="28"/>
          <w:highlight w:val="none"/>
        </w:rPr>
        <w:t xml:space="preserve"> 企业</w:t>
      </w:r>
      <w:r>
        <w:rPr>
          <w:rFonts w:hint="eastAsia" w:ascii="仿宋" w:hAnsi="仿宋" w:eastAsia="仿宋"/>
          <w:b/>
          <w:color w:val="auto"/>
          <w:sz w:val="28"/>
          <w:szCs w:val="28"/>
          <w:highlight w:val="none"/>
        </w:rPr>
        <w:t>法人营业执照（复印件并加盖公章）</w:t>
      </w:r>
    </w:p>
    <w:p>
      <w:pPr>
        <w:jc w:val="center"/>
        <w:outlineLvl w:val="1"/>
        <w:rPr>
          <w:rFonts w:ascii="仿宋" w:hAnsi="仿宋" w:eastAsia="仿宋"/>
          <w:b/>
          <w:color w:val="auto"/>
          <w:sz w:val="28"/>
          <w:szCs w:val="28"/>
          <w:highlight w:val="none"/>
        </w:rPr>
      </w:pPr>
    </w:p>
    <w:p>
      <w:pPr>
        <w:spacing w:after="0"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广州应用科技学院</w:t>
      </w:r>
      <w:r>
        <w:rPr>
          <w:rFonts w:hint="eastAsia" w:ascii="仿宋" w:hAnsi="仿宋" w:eastAsia="仿宋"/>
          <w:color w:val="auto"/>
          <w:sz w:val="28"/>
          <w:szCs w:val="28"/>
          <w:highlight w:val="none"/>
        </w:rPr>
        <w:t>：</w:t>
      </w:r>
    </w:p>
    <w:p>
      <w:pPr>
        <w:spacing w:after="0"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现附上由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（签发机关名称）签发的我方法人营业执照复印件，该执照业经年检，真实有效。</w:t>
      </w: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参 与 人（全称并加盖公章）：</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3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zh-CN"/>
        </w:rPr>
        <w:t>参与人授权代表</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pPr>
        <w:spacing w:line="3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日      期：</w:t>
      </w:r>
      <w:r>
        <w:rPr>
          <w:rFonts w:hint="eastAsia" w:ascii="仿宋" w:hAnsi="仿宋" w:eastAsia="仿宋"/>
          <w:color w:val="auto"/>
          <w:sz w:val="28"/>
          <w:szCs w:val="28"/>
          <w:highlight w:val="none"/>
          <w:u w:val="single"/>
        </w:rPr>
        <w:t xml:space="preserve">                                </w:t>
      </w:r>
    </w:p>
    <w:p>
      <w:pPr>
        <w:spacing w:line="380" w:lineRule="exact"/>
        <w:jc w:val="center"/>
        <w:outlineLvl w:val="2"/>
        <w:rPr>
          <w:rFonts w:ascii="仿宋" w:hAnsi="仿宋" w:eastAsia="仿宋"/>
          <w:b/>
          <w:color w:val="auto"/>
          <w:sz w:val="28"/>
          <w:szCs w:val="28"/>
          <w:highlight w:val="none"/>
        </w:rPr>
      </w:pPr>
      <w:r>
        <w:rPr>
          <w:rFonts w:hint="eastAsia" w:ascii="仿宋" w:hAnsi="仿宋" w:eastAsia="仿宋"/>
          <w:b/>
          <w:color w:val="auto"/>
          <w:sz w:val="28"/>
          <w:szCs w:val="28"/>
          <w:highlight w:val="none"/>
        </w:rPr>
        <w:br w:type="page"/>
      </w:r>
      <w:bookmarkStart w:id="239" w:name="_Toc259692756"/>
      <w:bookmarkStart w:id="240" w:name="_Toc192663843"/>
      <w:bookmarkStart w:id="241" w:name="_Toc267060080"/>
      <w:bookmarkStart w:id="242" w:name="_Toc258401270"/>
      <w:bookmarkStart w:id="243" w:name="_Toc193165742"/>
      <w:bookmarkStart w:id="244" w:name="_Toc181436573"/>
      <w:bookmarkStart w:id="245" w:name="_Toc259692754"/>
      <w:bookmarkStart w:id="246" w:name="_Toc267060465"/>
      <w:bookmarkStart w:id="247" w:name="_Toc255975021"/>
      <w:bookmarkStart w:id="248" w:name="_Toc180302921"/>
      <w:bookmarkStart w:id="249" w:name="_Toc259692663"/>
      <w:bookmarkStart w:id="250" w:name="_Toc192663694"/>
      <w:bookmarkStart w:id="251" w:name="_Toc193160456"/>
      <w:bookmarkStart w:id="252" w:name="_Toc259520881"/>
      <w:bookmarkStart w:id="253" w:name="_Toc192996346"/>
      <w:bookmarkStart w:id="254" w:name="_Toc160880168"/>
      <w:bookmarkStart w:id="255" w:name="_Toc169332846"/>
      <w:bookmarkStart w:id="256" w:name="_Toc192664161"/>
      <w:bookmarkStart w:id="257" w:name="_Toc169332957"/>
      <w:bookmarkStart w:id="258" w:name="_Toc160880537"/>
      <w:bookmarkStart w:id="259" w:name="_Toc266870447"/>
      <w:bookmarkStart w:id="260" w:name="_Toc182805225"/>
      <w:bookmarkStart w:id="261" w:name="_Toc255975023"/>
      <w:bookmarkStart w:id="262" w:name="_Toc267060081"/>
      <w:bookmarkStart w:id="263" w:name="_Toc236021462"/>
      <w:bookmarkStart w:id="264" w:name="_Toc267060466"/>
      <w:bookmarkStart w:id="265" w:name="_Toc259520879"/>
      <w:bookmarkStart w:id="266" w:name="_Toc266868686"/>
      <w:bookmarkStart w:id="267" w:name="_Toc211917124"/>
      <w:bookmarkStart w:id="268" w:name="_Toc192996454"/>
      <w:bookmarkStart w:id="269" w:name="_Toc267060221"/>
      <w:bookmarkStart w:id="270" w:name="_Toc235438357"/>
      <w:bookmarkStart w:id="271" w:name="_Toc170798801"/>
      <w:bookmarkStart w:id="272" w:name="_Toc267060220"/>
      <w:bookmarkStart w:id="273" w:name="_Toc254790916"/>
      <w:bookmarkStart w:id="274" w:name="_Toc258401272"/>
      <w:bookmarkStart w:id="275" w:name="_Toc235438286"/>
      <w:bookmarkStart w:id="276" w:name="_Toc191802698"/>
      <w:bookmarkStart w:id="277" w:name="_Toc254790914"/>
      <w:bookmarkStart w:id="278" w:name="_Toc249325725"/>
      <w:bookmarkStart w:id="279" w:name="_Toc253066629"/>
      <w:bookmarkStart w:id="280" w:name="_Toc266870921"/>
      <w:bookmarkStart w:id="281" w:name="_Toc191803634"/>
      <w:bookmarkStart w:id="282" w:name="_Toc232302127"/>
      <w:bookmarkStart w:id="283" w:name="_Toc266870446"/>
      <w:bookmarkStart w:id="284" w:name="_Toc259692661"/>
      <w:bookmarkStart w:id="285" w:name="_Toc203355741"/>
      <w:bookmarkStart w:id="286" w:name="_Toc191783230"/>
      <w:bookmarkStart w:id="287" w:name="_Toc251613844"/>
      <w:bookmarkStart w:id="288" w:name="_Toc191789337"/>
      <w:bookmarkStart w:id="289" w:name="_Toc235438003"/>
      <w:bookmarkStart w:id="290" w:name="_Toc266870922"/>
      <w:bookmarkStart w:id="291" w:name="_Toc266868684"/>
      <w:bookmarkStart w:id="292" w:name="_Toc177985477"/>
      <w:bookmarkStart w:id="293" w:name="_Toc182372790"/>
      <w:bookmarkStart w:id="294" w:name="_Toc251586246"/>
      <w:bookmarkStart w:id="295" w:name="_Toc181436469"/>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highlight w:val="none"/>
        </w:rPr>
      </w:pPr>
      <w:bookmarkStart w:id="296" w:name="_Toc235438004"/>
      <w:bookmarkStart w:id="297" w:name="_Toc255975024"/>
      <w:bookmarkStart w:id="298" w:name="_Toc267060082"/>
      <w:bookmarkStart w:id="299" w:name="_Toc267059545"/>
      <w:bookmarkStart w:id="300" w:name="_Toc266870840"/>
      <w:bookmarkStart w:id="301" w:name="_Toc267059812"/>
      <w:bookmarkStart w:id="302" w:name="_Toc267059659"/>
      <w:bookmarkStart w:id="303" w:name="_Toc259520882"/>
      <w:bookmarkStart w:id="304" w:name="_Toc266870448"/>
      <w:bookmarkStart w:id="305" w:name="_Toc273178704"/>
      <w:bookmarkStart w:id="306" w:name="_Toc267060222"/>
      <w:bookmarkStart w:id="307" w:name="_Toc253066630"/>
      <w:bookmarkStart w:id="308" w:name="_Toc266868944"/>
      <w:bookmarkStart w:id="309" w:name="_Toc232302128"/>
      <w:bookmarkStart w:id="310" w:name="_Toc259692757"/>
      <w:bookmarkStart w:id="311" w:name="_Toc267060327"/>
      <w:bookmarkStart w:id="312" w:name="_Toc236021463"/>
      <w:bookmarkStart w:id="313" w:name="_Toc251586247"/>
      <w:bookmarkStart w:id="314" w:name="_Toc235438358"/>
      <w:bookmarkStart w:id="315" w:name="_Toc251613845"/>
      <w:bookmarkStart w:id="316" w:name="_Toc249325726"/>
      <w:bookmarkStart w:id="317" w:name="_Toc267059187"/>
      <w:bookmarkStart w:id="318" w:name="_Toc266870923"/>
      <w:bookmarkStart w:id="319" w:name="_Toc267059036"/>
      <w:bookmarkStart w:id="320" w:name="_Toc267059925"/>
      <w:bookmarkStart w:id="321" w:name="_Toc254790917"/>
      <w:bookmarkStart w:id="322" w:name="_Toc267060467"/>
      <w:bookmarkStart w:id="323" w:name="_Toc258401273"/>
      <w:bookmarkStart w:id="324" w:name="_Toc235438287"/>
      <w:bookmarkStart w:id="325" w:name="_Toc259692664"/>
      <w:bookmarkStart w:id="326" w:name="_Toc266868687"/>
      <w:r>
        <w:rPr>
          <w:rFonts w:ascii="仿宋" w:hAnsi="仿宋" w:eastAsia="仿宋"/>
          <w:b/>
          <w:bCs/>
          <w:color w:val="auto"/>
          <w:sz w:val="28"/>
          <w:szCs w:val="28"/>
          <w:highlight w:val="none"/>
        </w:rPr>
        <w:t>4.</w:t>
      </w:r>
      <w:r>
        <w:rPr>
          <w:rFonts w:hint="eastAsia" w:ascii="仿宋" w:hAnsi="仿宋" w:eastAsia="仿宋"/>
          <w:b/>
          <w:bCs/>
          <w:color w:val="auto"/>
          <w:sz w:val="28"/>
          <w:szCs w:val="28"/>
          <w:highlight w:val="none"/>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auto"/>
          <w:sz w:val="28"/>
          <w:szCs w:val="28"/>
          <w:highlight w:val="none"/>
        </w:rPr>
      </w:pPr>
    </w:p>
    <w:p>
      <w:pPr>
        <w:widowControl w:val="0"/>
        <w:spacing w:after="0" w:line="240" w:lineRule="auto"/>
        <w:ind w:left="420"/>
        <w:jc w:val="center"/>
        <w:outlineLvl w:val="1"/>
        <w:rPr>
          <w:rFonts w:ascii="仿宋" w:hAnsi="仿宋" w:eastAsia="仿宋"/>
          <w:b/>
          <w:color w:val="auto"/>
          <w:sz w:val="28"/>
          <w:szCs w:val="28"/>
          <w:highlight w:val="none"/>
        </w:rPr>
      </w:pPr>
    </w:p>
    <w:p>
      <w:pPr>
        <w:rPr>
          <w:rFonts w:ascii="仿宋" w:hAnsi="仿宋" w:eastAsia="仿宋"/>
          <w:b/>
          <w:color w:val="auto"/>
          <w:sz w:val="28"/>
          <w:szCs w:val="28"/>
          <w:highlight w:val="none"/>
        </w:rPr>
      </w:pPr>
      <w:r>
        <w:rPr>
          <w:rFonts w:ascii="仿宋" w:hAnsi="仿宋" w:eastAsia="仿宋"/>
          <w:b/>
          <w:color w:val="auto"/>
          <w:sz w:val="28"/>
          <w:szCs w:val="28"/>
          <w:highlight w:val="none"/>
        </w:rPr>
        <w:t xml:space="preserve">   </w:t>
      </w:r>
    </w:p>
    <w:p>
      <w:pPr>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参与人根据公开询价文件中对售后服务的要求，结合自身实际情况进行承诺</w:t>
      </w:r>
      <w:r>
        <w:rPr>
          <w:rFonts w:ascii="仿宋" w:hAnsi="仿宋" w:eastAsia="仿宋"/>
          <w:color w:val="auto"/>
          <w:sz w:val="28"/>
          <w:szCs w:val="28"/>
          <w:highlight w:val="none"/>
        </w:rPr>
        <w:t>（含</w:t>
      </w:r>
      <w:r>
        <w:rPr>
          <w:rFonts w:hint="eastAsia" w:ascii="仿宋" w:hAnsi="仿宋" w:eastAsia="仿宋"/>
          <w:color w:val="auto"/>
          <w:sz w:val="28"/>
          <w:szCs w:val="28"/>
          <w:highlight w:val="none"/>
        </w:rPr>
        <w:t>产品质量</w:t>
      </w:r>
      <w:r>
        <w:rPr>
          <w:rFonts w:ascii="仿宋" w:hAnsi="仿宋" w:eastAsia="仿宋"/>
          <w:color w:val="auto"/>
          <w:sz w:val="28"/>
          <w:szCs w:val="28"/>
          <w:highlight w:val="none"/>
        </w:rPr>
        <w:t>保障体系等）、交货</w:t>
      </w:r>
      <w:r>
        <w:rPr>
          <w:rFonts w:hint="eastAsia" w:ascii="仿宋" w:hAnsi="仿宋" w:eastAsia="仿宋"/>
          <w:color w:val="auto"/>
          <w:sz w:val="28"/>
          <w:szCs w:val="28"/>
          <w:highlight w:val="none"/>
        </w:rPr>
        <w:t>周</w:t>
      </w:r>
      <w:r>
        <w:rPr>
          <w:rFonts w:ascii="仿宋" w:hAnsi="仿宋" w:eastAsia="仿宋"/>
          <w:color w:val="auto"/>
          <w:sz w:val="28"/>
          <w:szCs w:val="28"/>
          <w:highlight w:val="none"/>
        </w:rPr>
        <w:t>期承诺等</w:t>
      </w:r>
      <w:r>
        <w:rPr>
          <w:rFonts w:hint="eastAsia" w:ascii="仿宋" w:hAnsi="仿宋" w:eastAsia="仿宋"/>
          <w:color w:val="auto"/>
          <w:sz w:val="28"/>
          <w:szCs w:val="28"/>
          <w:highlight w:val="none"/>
        </w:rPr>
        <w:t>。</w:t>
      </w:r>
    </w:p>
    <w:p>
      <w:pPr>
        <w:spacing w:line="500" w:lineRule="exact"/>
        <w:ind w:firstLine="480"/>
        <w:rPr>
          <w:rFonts w:ascii="仿宋" w:hAnsi="仿宋" w:eastAsia="仿宋"/>
          <w:color w:val="auto"/>
          <w:sz w:val="28"/>
          <w:szCs w:val="28"/>
          <w:highlight w:val="none"/>
        </w:rPr>
      </w:pPr>
      <w:r>
        <w:rPr>
          <w:rFonts w:hint="eastAsia" w:ascii="仿宋" w:hAnsi="仿宋" w:eastAsia="仿宋"/>
          <w:color w:val="auto"/>
          <w:sz w:val="28"/>
          <w:szCs w:val="28"/>
          <w:highlight w:val="none"/>
        </w:rPr>
        <w:t>承诺如下：</w:t>
      </w:r>
    </w:p>
    <w:p>
      <w:pPr>
        <w:spacing w:line="420" w:lineRule="exact"/>
        <w:ind w:firstLine="480"/>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r>
        <w:rPr>
          <w:rFonts w:ascii="仿宋" w:hAnsi="仿宋" w:eastAsia="仿宋"/>
          <w:color w:val="auto"/>
          <w:sz w:val="28"/>
          <w:szCs w:val="28"/>
          <w:highlight w:val="none"/>
        </w:rPr>
        <w:t xml:space="preserve">                            </w:t>
      </w: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rPr>
          <w:rFonts w:ascii="仿宋" w:hAnsi="仿宋" w:eastAsia="仿宋"/>
          <w:color w:val="auto"/>
          <w:sz w:val="28"/>
          <w:szCs w:val="28"/>
          <w:highlight w:val="none"/>
        </w:rPr>
      </w:pPr>
    </w:p>
    <w:p>
      <w:pPr>
        <w:spacing w:line="380" w:lineRule="exact"/>
        <w:ind w:firstLine="3640" w:firstLineChars="1300"/>
        <w:rPr>
          <w:rFonts w:ascii="仿宋" w:hAnsi="仿宋" w:eastAsia="仿宋"/>
          <w:color w:val="auto"/>
          <w:sz w:val="28"/>
          <w:szCs w:val="28"/>
          <w:highlight w:val="none"/>
        </w:rPr>
      </w:pPr>
      <w:r>
        <w:rPr>
          <w:rFonts w:hint="eastAsia" w:ascii="仿宋" w:hAnsi="仿宋" w:eastAsia="仿宋"/>
          <w:color w:val="auto"/>
          <w:sz w:val="28"/>
          <w:szCs w:val="28"/>
          <w:highlight w:val="none"/>
        </w:rPr>
        <w:t>参 与 人（</w:t>
      </w:r>
      <w:r>
        <w:rPr>
          <w:rFonts w:hint="eastAsia" w:ascii="仿宋" w:hAnsi="仿宋" w:eastAsia="仿宋"/>
          <w:color w:val="auto"/>
          <w:sz w:val="28"/>
          <w:szCs w:val="28"/>
          <w:highlight w:val="none"/>
          <w:lang w:val="zh-CN"/>
        </w:rPr>
        <w:t>公司全称并加盖公章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pPr>
        <w:spacing w:line="3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参与人授权代表：</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pPr>
        <w:spacing w:line="420" w:lineRule="exact"/>
        <w:ind w:firstLine="426"/>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日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期：</w:t>
      </w:r>
      <w:r>
        <w:rPr>
          <w:rFonts w:hint="eastAsia" w:ascii="仿宋" w:hAnsi="仿宋" w:eastAsia="仿宋"/>
          <w:color w:val="auto"/>
          <w:sz w:val="28"/>
          <w:szCs w:val="28"/>
          <w:highlight w:val="none"/>
          <w:u w:val="single"/>
        </w:rPr>
        <w:t xml:space="preserve">                              </w:t>
      </w:r>
    </w:p>
    <w:p>
      <w:pPr>
        <w:spacing w:line="420" w:lineRule="exact"/>
        <w:ind w:firstLine="426"/>
        <w:rPr>
          <w:rFonts w:hint="eastAsia" w:ascii="仿宋" w:hAnsi="仿宋" w:eastAsia="仿宋"/>
          <w:color w:val="auto"/>
          <w:sz w:val="28"/>
          <w:szCs w:val="28"/>
          <w:highlight w:val="none"/>
          <w:u w:val="single"/>
        </w:rPr>
      </w:pPr>
    </w:p>
    <w:p>
      <w:pPr>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进校需报备，请提前一天将进校人员信息发至微信账号：13229405771（请备注公司名称+姓名+项目名称）。（以文字形式提交即可）：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报备部门：</w:t>
      </w:r>
      <w:r>
        <w:rPr>
          <w:rFonts w:hint="eastAsia" w:ascii="仿宋" w:hAnsi="仿宋" w:eastAsia="仿宋" w:cs="仿宋"/>
          <w:color w:val="auto"/>
          <w:sz w:val="28"/>
          <w:szCs w:val="28"/>
          <w:highlight w:val="none"/>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申请人：</w:t>
      </w:r>
      <w:r>
        <w:rPr>
          <w:rFonts w:hint="eastAsia" w:ascii="仿宋" w:hAnsi="仿宋" w:eastAsia="仿宋" w:cs="仿宋"/>
          <w:color w:val="auto"/>
          <w:sz w:val="28"/>
          <w:szCs w:val="28"/>
          <w:highlight w:val="none"/>
          <w:lang w:val="en-US" w:eastAsia="zh-CN"/>
        </w:rPr>
        <w:t>袁艳莲</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13229405771</w:t>
      </w:r>
    </w:p>
    <w:p>
      <w:pPr>
        <w:spacing w:line="420" w:lineRule="exact"/>
        <w:ind w:firstLine="426"/>
        <w:rPr>
          <w:rFonts w:hint="default" w:ascii="仿宋" w:hAnsi="仿宋" w:eastAsia="仿宋"/>
          <w:color w:val="auto"/>
          <w:sz w:val="28"/>
          <w:szCs w:val="28"/>
          <w:highlight w:val="none"/>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大礼堂舞台灯光音响设备采购及安装项目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rPr>
        <w:rFonts w:hint="eastAsia" w:ascii="仿宋" w:hAnsi="仿宋" w:eastAsia="仿宋" w:cs="仿宋"/>
        <w:sz w:val="21"/>
        <w:szCs w:val="21"/>
      </w:rPr>
      <w:t>广州应用科技学院</w:t>
    </w:r>
    <w:r>
      <w:rPr>
        <w:rFonts w:hint="eastAsia" w:ascii="仿宋" w:hAnsi="仿宋" w:eastAsia="仿宋" w:cs="仿宋"/>
        <w:sz w:val="21"/>
        <w:szCs w:val="21"/>
        <w:lang w:val="en-US" w:eastAsia="zh-CN"/>
      </w:rPr>
      <w:t>肇庆校区</w:t>
    </w:r>
    <w:r>
      <w:rPr>
        <w:rFonts w:hint="eastAsia" w:ascii="仿宋" w:hAnsi="仿宋" w:eastAsia="仿宋" w:cs="仿宋"/>
        <w:sz w:val="21"/>
        <w:szCs w:val="21"/>
      </w:rPr>
      <w:t>关于</w:t>
    </w:r>
    <w:r>
      <w:rPr>
        <w:rFonts w:hint="eastAsia" w:ascii="仿宋" w:hAnsi="仿宋" w:eastAsia="仿宋" w:cs="仿宋"/>
        <w:sz w:val="21"/>
        <w:szCs w:val="21"/>
        <w:lang w:val="en-US" w:eastAsia="zh-CN"/>
      </w:rPr>
      <w:t>大礼堂舞台灯光音响设备采购及安装项目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项目编号：A-XJ2021-29</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w:t>
    </w:r>
    <w:r>
      <w:rPr>
        <w:rFonts w:hint="eastAsia" w:ascii="仿宋" w:hAnsi="仿宋" w:eastAsia="仿宋" w:cs="仿宋"/>
        <w:sz w:val="21"/>
        <w:szCs w:val="21"/>
        <w:lang w:val="en-US" w:eastAsia="zh-CN"/>
      </w:rPr>
      <w:t>肇庆校区</w:t>
    </w:r>
    <w:r>
      <w:rPr>
        <w:rFonts w:hint="eastAsia" w:ascii="仿宋" w:hAnsi="仿宋" w:eastAsia="仿宋" w:cs="仿宋"/>
        <w:sz w:val="21"/>
        <w:szCs w:val="21"/>
      </w:rPr>
      <w:t>关于</w:t>
    </w:r>
    <w:r>
      <w:rPr>
        <w:rFonts w:hint="eastAsia" w:ascii="仿宋" w:hAnsi="仿宋" w:eastAsia="仿宋" w:cs="仿宋"/>
        <w:sz w:val="21"/>
        <w:szCs w:val="21"/>
        <w:lang w:val="en-US" w:eastAsia="zh-CN"/>
      </w:rPr>
      <w:t>大礼堂舞台灯光音响设备采购及安装项目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项目编号：A-XJ2021-29</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rPr>
        <w:rFonts w:hint="eastAsia" w:ascii="仿宋" w:hAnsi="仿宋" w:eastAsia="仿宋" w:cs="仿宋"/>
        <w:sz w:val="21"/>
        <w:szCs w:val="21"/>
      </w:rPr>
      <w:t>广州应用科技学院</w:t>
    </w:r>
    <w:r>
      <w:rPr>
        <w:rFonts w:hint="eastAsia" w:ascii="仿宋" w:hAnsi="仿宋" w:eastAsia="仿宋" w:cs="仿宋"/>
        <w:sz w:val="21"/>
        <w:szCs w:val="21"/>
        <w:lang w:val="en-US" w:eastAsia="zh-CN"/>
      </w:rPr>
      <w:t>肇庆校区</w:t>
    </w:r>
    <w:r>
      <w:rPr>
        <w:rFonts w:hint="eastAsia" w:ascii="仿宋" w:hAnsi="仿宋" w:eastAsia="仿宋" w:cs="仿宋"/>
        <w:sz w:val="21"/>
        <w:szCs w:val="21"/>
      </w:rPr>
      <w:t>关于</w:t>
    </w:r>
    <w:r>
      <w:rPr>
        <w:rFonts w:hint="eastAsia" w:ascii="仿宋" w:hAnsi="仿宋" w:eastAsia="仿宋" w:cs="仿宋"/>
        <w:sz w:val="21"/>
        <w:szCs w:val="21"/>
        <w:lang w:val="en-US" w:eastAsia="zh-CN"/>
      </w:rPr>
      <w:t>大礼堂舞台灯光音响设备采购及安装项目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项目编号：A-XJ2021-29</w:t>
    </w:r>
    <w:r>
      <w:rPr>
        <w:rFonts w:hint="eastAsia" w:ascii="仿宋" w:hAnsi="仿宋" w:eastAsia="仿宋" w:cs="仿宋"/>
        <w:sz w:val="21"/>
        <w:szCs w:val="21"/>
        <w:lang w:eastAsia="zh-CN"/>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w:t>
    </w:r>
    <w:r>
      <w:rPr>
        <w:rFonts w:hint="eastAsia" w:ascii="仿宋" w:hAnsi="仿宋" w:eastAsia="仿宋" w:cs="仿宋"/>
        <w:sz w:val="21"/>
        <w:szCs w:val="21"/>
        <w:lang w:val="en-US" w:eastAsia="zh-CN"/>
      </w:rPr>
      <w:t>肇庆校区</w:t>
    </w:r>
    <w:r>
      <w:rPr>
        <w:rFonts w:hint="eastAsia" w:ascii="仿宋" w:hAnsi="仿宋" w:eastAsia="仿宋" w:cs="仿宋"/>
        <w:sz w:val="21"/>
        <w:szCs w:val="21"/>
      </w:rPr>
      <w:t>关于</w:t>
    </w:r>
    <w:r>
      <w:rPr>
        <w:rFonts w:hint="eastAsia" w:ascii="仿宋" w:hAnsi="仿宋" w:eastAsia="仿宋" w:cs="仿宋"/>
        <w:sz w:val="21"/>
        <w:szCs w:val="21"/>
        <w:lang w:val="en-US" w:eastAsia="zh-CN"/>
      </w:rPr>
      <w:t>大礼堂舞台灯光音响设备采购及安装项目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项目编号：A-XJ2021-29</w:t>
    </w:r>
    <w:r>
      <w:rPr>
        <w:rFonts w:hint="eastAsia" w:ascii="仿宋" w:hAnsi="仿宋" w:eastAsia="仿宋" w:cs="仿宋"/>
        <w:sz w:val="21"/>
        <w:szCs w:val="21"/>
        <w:lang w:eastAsia="zh-CN"/>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CA7450"/>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26D5AA7"/>
    <w:rsid w:val="04AD4330"/>
    <w:rsid w:val="08975505"/>
    <w:rsid w:val="0B2F1B6C"/>
    <w:rsid w:val="0EA50740"/>
    <w:rsid w:val="0EFB2B1B"/>
    <w:rsid w:val="0FD26D28"/>
    <w:rsid w:val="10DB0BFE"/>
    <w:rsid w:val="16651141"/>
    <w:rsid w:val="1AB710CE"/>
    <w:rsid w:val="1C3D4F93"/>
    <w:rsid w:val="1C7618B9"/>
    <w:rsid w:val="1CB6041D"/>
    <w:rsid w:val="1E211793"/>
    <w:rsid w:val="1EB12168"/>
    <w:rsid w:val="20683F30"/>
    <w:rsid w:val="218D0EA6"/>
    <w:rsid w:val="223D678C"/>
    <w:rsid w:val="22957DDE"/>
    <w:rsid w:val="23E90889"/>
    <w:rsid w:val="24030634"/>
    <w:rsid w:val="25F23389"/>
    <w:rsid w:val="261F0302"/>
    <w:rsid w:val="28DD5EA4"/>
    <w:rsid w:val="29044465"/>
    <w:rsid w:val="294127F8"/>
    <w:rsid w:val="29842465"/>
    <w:rsid w:val="2A4F4D33"/>
    <w:rsid w:val="2ADF0DF6"/>
    <w:rsid w:val="2B841B98"/>
    <w:rsid w:val="2C4170C9"/>
    <w:rsid w:val="2D724E25"/>
    <w:rsid w:val="2DAC36CA"/>
    <w:rsid w:val="2DC2357D"/>
    <w:rsid w:val="2E921912"/>
    <w:rsid w:val="2F1B6AD2"/>
    <w:rsid w:val="32E528B7"/>
    <w:rsid w:val="34345439"/>
    <w:rsid w:val="34E95998"/>
    <w:rsid w:val="355B2ADF"/>
    <w:rsid w:val="35DA6258"/>
    <w:rsid w:val="363061BC"/>
    <w:rsid w:val="3D3F1A9C"/>
    <w:rsid w:val="3E344EC8"/>
    <w:rsid w:val="3F253A7B"/>
    <w:rsid w:val="3FE5724E"/>
    <w:rsid w:val="41FC0F00"/>
    <w:rsid w:val="42BD1856"/>
    <w:rsid w:val="48643F21"/>
    <w:rsid w:val="49AF49AD"/>
    <w:rsid w:val="4A5659CA"/>
    <w:rsid w:val="4C9A098F"/>
    <w:rsid w:val="4F2C086A"/>
    <w:rsid w:val="50473872"/>
    <w:rsid w:val="507B5167"/>
    <w:rsid w:val="50AC1CA5"/>
    <w:rsid w:val="542E5F34"/>
    <w:rsid w:val="57462D15"/>
    <w:rsid w:val="57F9662F"/>
    <w:rsid w:val="5AC67910"/>
    <w:rsid w:val="5B5F46CD"/>
    <w:rsid w:val="5C2355B9"/>
    <w:rsid w:val="5E6358A4"/>
    <w:rsid w:val="5ED33EE0"/>
    <w:rsid w:val="5F574D47"/>
    <w:rsid w:val="605E5BC9"/>
    <w:rsid w:val="612427E2"/>
    <w:rsid w:val="62430E42"/>
    <w:rsid w:val="645E00B4"/>
    <w:rsid w:val="66944B53"/>
    <w:rsid w:val="69B35BC8"/>
    <w:rsid w:val="6A7E08F9"/>
    <w:rsid w:val="6AC11F29"/>
    <w:rsid w:val="6BCB03E9"/>
    <w:rsid w:val="6F3539EF"/>
    <w:rsid w:val="6FEE149C"/>
    <w:rsid w:val="702A2031"/>
    <w:rsid w:val="70D71004"/>
    <w:rsid w:val="717C5E32"/>
    <w:rsid w:val="721B2883"/>
    <w:rsid w:val="73512219"/>
    <w:rsid w:val="73CD4560"/>
    <w:rsid w:val="74E23218"/>
    <w:rsid w:val="777879C4"/>
    <w:rsid w:val="78904540"/>
    <w:rsid w:val="7EA922BA"/>
    <w:rsid w:val="7EAC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 w:type="character" w:customStyle="1" w:styleId="61">
    <w:name w:val="font11"/>
    <w:basedOn w:val="25"/>
    <w:qFormat/>
    <w:uiPriority w:val="0"/>
    <w:rPr>
      <w:rFonts w:hint="eastAsia" w:ascii="微软雅黑" w:hAnsi="微软雅黑" w:eastAsia="微软雅黑" w:cs="微软雅黑"/>
      <w:color w:val="000000"/>
      <w:sz w:val="22"/>
      <w:szCs w:val="22"/>
      <w:u w:val="none"/>
    </w:rPr>
  </w:style>
  <w:style w:type="character" w:customStyle="1" w:styleId="62">
    <w:name w:val="font21"/>
    <w:basedOn w:val="25"/>
    <w:qFormat/>
    <w:uiPriority w:val="0"/>
    <w:rPr>
      <w:rFonts w:hint="eastAsia" w:ascii="宋体" w:hAnsi="宋体" w:eastAsia="宋体" w:cs="宋体"/>
      <w:color w:val="000000"/>
      <w:sz w:val="22"/>
      <w:szCs w:val="22"/>
      <w:u w:val="none"/>
    </w:rPr>
  </w:style>
  <w:style w:type="character" w:customStyle="1" w:styleId="63">
    <w:name w:val="font71"/>
    <w:basedOn w:val="25"/>
    <w:qFormat/>
    <w:uiPriority w:val="0"/>
    <w:rPr>
      <w:rFonts w:hint="eastAsia" w:ascii="微软雅黑" w:hAnsi="微软雅黑" w:eastAsia="微软雅黑" w:cs="微软雅黑"/>
      <w:color w:val="000000"/>
      <w:sz w:val="22"/>
      <w:szCs w:val="22"/>
      <w:u w:val="none"/>
    </w:rPr>
  </w:style>
  <w:style w:type="character" w:customStyle="1" w:styleId="64">
    <w:name w:val="font3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繠0</cp:lastModifiedBy>
  <dcterms:modified xsi:type="dcterms:W3CDTF">2021-06-20T06:49:01Z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B0BC8AF3526E4FDC9A286794011ACD00</vt:lpwstr>
  </property>
</Properties>
</file>