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广州应用科技学院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关于肇庆校区社体系设备采购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项目</w:t>
      </w:r>
      <w:r>
        <w:rPr>
          <w:rFonts w:hint="eastAsia" w:ascii="仿宋" w:hAnsi="仿宋" w:eastAsia="仿宋"/>
          <w:b/>
          <w:sz w:val="36"/>
          <w:szCs w:val="36"/>
        </w:rPr>
        <w:t>竞争性磋商公告</w:t>
      </w:r>
    </w:p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</w:p>
    <w:p>
      <w:pPr>
        <w:spacing w:after="0"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广州应用科技学院是经教育部批准设立的全日制普通本科高校。创办于2000年。2000年属广州大学的二级学院。2004年经教育部批准设立为独立学院——广州大学松田学院。2020年 12月经教育部批准转设并更名为广州应用科技学院。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A-ZB2021-29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磋商货物名称：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社体系设备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数量及主要技术要求:详见《竞争性磋商货物一览表》。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参与人资格标准：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（1）参与人应具有独立法人资格，具有独立承担民事责任能力的生产厂商或授权代理商。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（2）参与人应具</w:t>
      </w:r>
      <w:r>
        <w:rPr>
          <w:rFonts w:ascii="仿宋" w:hAnsi="仿宋" w:eastAsia="仿宋"/>
          <w:color w:val="000000"/>
          <w:sz w:val="28"/>
          <w:szCs w:val="28"/>
        </w:rPr>
        <w:t>有提</w:t>
      </w:r>
      <w:r>
        <w:rPr>
          <w:rFonts w:hint="eastAsia" w:ascii="仿宋" w:hAnsi="仿宋" w:eastAsia="仿宋"/>
          <w:color w:val="000000"/>
          <w:sz w:val="28"/>
          <w:szCs w:val="28"/>
        </w:rPr>
        <w:t>供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社体系设备</w:t>
      </w:r>
      <w:r>
        <w:rPr>
          <w:rFonts w:ascii="仿宋" w:hAnsi="仿宋" w:eastAsia="仿宋"/>
          <w:color w:val="000000"/>
          <w:sz w:val="28"/>
          <w:szCs w:val="28"/>
        </w:rPr>
        <w:t>和服务的资格</w:t>
      </w:r>
      <w:r>
        <w:rPr>
          <w:rFonts w:hint="eastAsia" w:ascii="仿宋" w:hAnsi="仿宋" w:eastAsia="仿宋"/>
          <w:color w:val="000000"/>
          <w:sz w:val="28"/>
          <w:szCs w:val="28"/>
        </w:rPr>
        <w:t>及</w:t>
      </w:r>
      <w:r>
        <w:rPr>
          <w:rFonts w:ascii="仿宋" w:hAnsi="仿宋" w:eastAsia="仿宋"/>
          <w:color w:val="000000"/>
          <w:sz w:val="28"/>
          <w:szCs w:val="28"/>
        </w:rPr>
        <w:t>能力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（3）参与人应遵守中国的有关法律、法规和规章的规定。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（4）参与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人具有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年以上（包括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年）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个以上同类项</w:t>
      </w:r>
      <w:r>
        <w:rPr>
          <w:rFonts w:hint="eastAsia" w:ascii="仿宋" w:hAnsi="仿宋" w:eastAsia="仿宋"/>
          <w:color w:val="000000"/>
          <w:sz w:val="28"/>
          <w:szCs w:val="28"/>
        </w:rPr>
        <w:t>目销售和良好的售后服务应用成功案例,近三年未发生重大安全或质量事故。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（5）参与人须有良好的商业信誉和健全的财务制度。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（6）参与人有依法缴纳税金的良好记录。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磋商文件购买时间：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日至20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日（节假日除外）</w:t>
      </w:r>
      <w:r>
        <w:rPr>
          <w:rFonts w:hint="eastAsia" w:ascii="仿宋" w:hAnsi="仿宋" w:eastAsia="仿宋"/>
          <w:sz w:val="28"/>
          <w:szCs w:val="28"/>
        </w:rPr>
        <w:t>上午8:00至12:00、下午14:30至1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:3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859" w:leftChars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正式磋商文件售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900</w:t>
      </w:r>
      <w:r>
        <w:rPr>
          <w:rFonts w:hint="eastAsia" w:ascii="仿宋" w:hAnsi="仿宋" w:eastAsia="仿宋"/>
          <w:sz w:val="28"/>
          <w:szCs w:val="28"/>
        </w:rPr>
        <w:t>元人民币，购买须采用转账形式，磋商文件售出不退，购买须采用转账形式（以参与投标公司的账户），并扫描转账单、营业执照及授权书发送</w:t>
      </w:r>
      <w:r>
        <w:rPr>
          <w:rFonts w:hint="eastAsia" w:ascii="仿宋" w:hAnsi="仿宋" w:eastAsia="仿宋"/>
          <w:sz w:val="28"/>
          <w:szCs w:val="28"/>
          <w:lang w:eastAsia="zh-CN"/>
        </w:rPr>
        <w:t>至微信账号：18122166662（请备注公司名称+姓名+项目名称）。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响应文件递交截止时间：20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下午</w:t>
      </w:r>
      <w:r>
        <w:rPr>
          <w:rFonts w:ascii="仿宋" w:hAnsi="仿宋" w:eastAsia="仿宋"/>
          <w:sz w:val="28"/>
          <w:szCs w:val="28"/>
        </w:rPr>
        <w:t>16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前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磋商文件购买及响应文件递交地点：</w:t>
      </w:r>
    </w:p>
    <w:p>
      <w:pPr>
        <w:spacing w:after="0" w:line="500" w:lineRule="exact"/>
        <w:ind w:left="839"/>
        <w:rPr>
          <w:rFonts w:hint="eastAsia" w:ascii="仿宋" w:hAnsi="仿宋" w:eastAsia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广州市增城区朱村街朱村大道东432号广州应用科技学院资产管理与采购处办公室。</w:t>
      </w:r>
    </w:p>
    <w:p>
      <w:pPr>
        <w:spacing w:after="0" w:line="500" w:lineRule="exact"/>
        <w:ind w:left="83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吴谷芬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，电话：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181221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66662</w:t>
      </w:r>
    </w:p>
    <w:p>
      <w:pPr>
        <w:spacing w:after="0" w:line="500" w:lineRule="exact"/>
        <w:ind w:left="83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软件需按校方要求的时间提供演示及试用（具体时间待通知）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正式磋商时间及地点：</w:t>
      </w:r>
    </w:p>
    <w:p>
      <w:pPr>
        <w:spacing w:after="0" w:line="500" w:lineRule="exact"/>
        <w:ind w:left="839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正式磋商时间：2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after="0" w:line="500" w:lineRule="exact"/>
        <w:ind w:left="839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正式磋商地点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广州市增城区朱村街朱村大道东432号广州应用科技学院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参加本项目的参与人须在规定的时间内购买磋商文件，本项目不接受未购买磋商文件供应商的参与，且</w:t>
      </w:r>
      <w:r>
        <w:rPr>
          <w:rFonts w:hint="eastAsia" w:ascii="仿宋" w:hAnsi="仿宋" w:eastAsia="仿宋"/>
          <w:sz w:val="28"/>
          <w:szCs w:val="28"/>
        </w:rPr>
        <w:t>不予以书面通知磋商文件补充内容等。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本项目需缴纳磋商保证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金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6万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</w:t>
      </w:r>
      <w:r>
        <w:rPr>
          <w:rFonts w:hint="eastAsia" w:ascii="仿宋" w:hAnsi="仿宋" w:eastAsia="仿宋"/>
          <w:sz w:val="28"/>
          <w:szCs w:val="28"/>
        </w:rPr>
        <w:t>，成交参与人磋商保证金自动转为履约质保金，履约质保金在验收合格日算起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个工作日内无息退还，未成交参与人的磋商保证金，将按竞争性磋商文件规定在确定成交参与人成交通知书发出之后，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个工作日办理原额无息退还手续。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本项目监督投诉部门：中教集团内控部；投诉电话： 0791-88102608；</w:t>
      </w:r>
    </w:p>
    <w:p>
      <w:pPr>
        <w:spacing w:after="0" w:line="520" w:lineRule="exact"/>
        <w:ind w:left="83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投诉邮箱：Neikongbu@educationgroup.cn</w:t>
      </w:r>
    </w:p>
    <w:p>
      <w:pPr>
        <w:spacing w:after="0" w:line="520" w:lineRule="exact"/>
        <w:ind w:left="83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本项目最终成交结果会在中教集团后勤贤知平台“中标信息公示”板块公示，网址：www.ceghqxz.com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磋商文件购买及保证金汇款账号 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widowControl w:val="0"/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开户名称：广州应用科技学院</w:t>
      </w:r>
    </w:p>
    <w:p>
      <w:pPr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帐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号：3662 7700 1000 0455 89</w:t>
      </w:r>
    </w:p>
    <w:p>
      <w:pPr>
        <w:spacing w:after="0" w:line="500" w:lineRule="exact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开户银行：广州农村商业银行荔城支行</w:t>
      </w:r>
    </w:p>
    <w:p>
      <w:pPr>
        <w:spacing w:after="0" w:line="500" w:lineRule="exact"/>
        <w:ind w:firstLine="840" w:firstLineChars="3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广州应用科技学院</w:t>
      </w:r>
    </w:p>
    <w:p>
      <w:pPr>
        <w:spacing w:line="500" w:lineRule="exact"/>
        <w:ind w:firstLine="6300" w:firstLineChars="2250"/>
        <w:jc w:val="right"/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5" w:type="default"/>
      <w:pgSz w:w="11906" w:h="16838"/>
      <w:pgMar w:top="1440" w:right="1274" w:bottom="1440" w:left="1276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 w:ascii="仿宋" w:hAnsi="仿宋" w:eastAsia="仿宋" w:cs="仿宋"/>
        <w:sz w:val="21"/>
        <w:szCs w:val="21"/>
      </w:rPr>
      <w:t>广州应用科技学院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关于肇庆校区社体系设备采购项目</w:t>
    </w:r>
    <w:r>
      <w:rPr>
        <w:rFonts w:hint="eastAsia" w:ascii="仿宋" w:hAnsi="仿宋" w:eastAsia="仿宋" w:cs="仿宋"/>
        <w:sz w:val="21"/>
        <w:szCs w:val="21"/>
        <w:lang w:eastAsia="zh-CN"/>
      </w:rPr>
      <w:t>（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项目编号：A-ZB2021-29</w:t>
    </w:r>
    <w:r>
      <w:rPr>
        <w:rFonts w:hint="eastAsia" w:ascii="仿宋" w:hAnsi="仿宋" w:eastAsia="仿宋" w:cs="仿宋"/>
        <w:sz w:val="21"/>
        <w:szCs w:val="21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E0CAE"/>
    <w:multiLevelType w:val="multilevel"/>
    <w:tmpl w:val="5CCE0CAE"/>
    <w:lvl w:ilvl="0" w:tentative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48151D"/>
    <w:rsid w:val="00490F8E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7469B"/>
    <w:rsid w:val="00C13DA1"/>
    <w:rsid w:val="00D36D52"/>
    <w:rsid w:val="00D7483F"/>
    <w:rsid w:val="00E40ADD"/>
    <w:rsid w:val="00ED48A0"/>
    <w:rsid w:val="00F40885"/>
    <w:rsid w:val="034F1ED7"/>
    <w:rsid w:val="0B2E4E4A"/>
    <w:rsid w:val="0B7F41F8"/>
    <w:rsid w:val="0D8478EB"/>
    <w:rsid w:val="0EC33EA3"/>
    <w:rsid w:val="15630709"/>
    <w:rsid w:val="15CF4D28"/>
    <w:rsid w:val="1AFC1AD7"/>
    <w:rsid w:val="1AFD24D1"/>
    <w:rsid w:val="1D2936C3"/>
    <w:rsid w:val="1E1C716F"/>
    <w:rsid w:val="1F0D66C6"/>
    <w:rsid w:val="1F4E3EA0"/>
    <w:rsid w:val="20381DD0"/>
    <w:rsid w:val="208328E1"/>
    <w:rsid w:val="281C72D3"/>
    <w:rsid w:val="340A2049"/>
    <w:rsid w:val="36311506"/>
    <w:rsid w:val="39B92A1B"/>
    <w:rsid w:val="3A3F21C4"/>
    <w:rsid w:val="3EE37FCC"/>
    <w:rsid w:val="42F04154"/>
    <w:rsid w:val="463E043F"/>
    <w:rsid w:val="478242DB"/>
    <w:rsid w:val="489A1B32"/>
    <w:rsid w:val="57CD533D"/>
    <w:rsid w:val="5D395738"/>
    <w:rsid w:val="5D997E16"/>
    <w:rsid w:val="6451436D"/>
    <w:rsid w:val="650541A9"/>
    <w:rsid w:val="66AD4932"/>
    <w:rsid w:val="6B833EB3"/>
    <w:rsid w:val="6E466822"/>
    <w:rsid w:val="72EE2FDC"/>
    <w:rsid w:val="755B3F67"/>
    <w:rsid w:val="791446ED"/>
    <w:rsid w:val="7A6C7CEF"/>
    <w:rsid w:val="7BEF110A"/>
    <w:rsid w:val="7CD2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18">
    <w:name w:val="Strong"/>
    <w:basedOn w:val="17"/>
    <w:qFormat/>
    <w:uiPriority w:val="22"/>
    <w:rPr>
      <w:b/>
      <w:bCs/>
      <w:color w:val="auto"/>
    </w:rPr>
  </w:style>
  <w:style w:type="character" w:styleId="19">
    <w:name w:val="Emphasis"/>
    <w:basedOn w:val="17"/>
    <w:qFormat/>
    <w:uiPriority w:val="20"/>
    <w:rPr>
      <w:i/>
      <w:iCs/>
      <w:color w:val="auto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6">
    <w:name w:val="标题 7 字符"/>
    <w:basedOn w:val="17"/>
    <w:link w:val="8"/>
    <w:semiHidden/>
    <w:qFormat/>
    <w:uiPriority w:val="9"/>
    <w:rPr>
      <w:i/>
      <w:iCs/>
    </w:rPr>
  </w:style>
  <w:style w:type="character" w:customStyle="1" w:styleId="27">
    <w:name w:val="标题 8 字符"/>
    <w:basedOn w:val="17"/>
    <w:link w:val="9"/>
    <w:semiHidden/>
    <w:qFormat/>
    <w:uiPriority w:val="9"/>
    <w:rPr>
      <w:b/>
      <w:bCs/>
    </w:rPr>
  </w:style>
  <w:style w:type="character" w:customStyle="1" w:styleId="28">
    <w:name w:val="标题 9 字符"/>
    <w:basedOn w:val="17"/>
    <w:link w:val="10"/>
    <w:semiHidden/>
    <w:qFormat/>
    <w:uiPriority w:val="9"/>
    <w:rPr>
      <w:i/>
      <w:iCs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33">
    <w:name w:val="引用 字符"/>
    <w:basedOn w:val="17"/>
    <w:link w:val="32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35">
    <w:name w:val="明显引用 字符"/>
    <w:basedOn w:val="17"/>
    <w:link w:val="34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36">
    <w:name w:val="Subtle Emphasis"/>
    <w:basedOn w:val="17"/>
    <w:qFormat/>
    <w:uiPriority w:val="19"/>
    <w:rPr>
      <w:i/>
      <w:iCs/>
      <w:color w:val="auto"/>
    </w:rPr>
  </w:style>
  <w:style w:type="character" w:customStyle="1" w:styleId="37">
    <w:name w:val="Intense Emphasis"/>
    <w:basedOn w:val="17"/>
    <w:qFormat/>
    <w:uiPriority w:val="21"/>
    <w:rPr>
      <w:b/>
      <w:bCs/>
      <w:i/>
      <w:iCs/>
      <w:color w:val="auto"/>
    </w:rPr>
  </w:style>
  <w:style w:type="character" w:customStyle="1" w:styleId="38">
    <w:name w:val="Subtle Reference"/>
    <w:basedOn w:val="17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auto"/>
      <w:u w:val="single"/>
    </w:rPr>
  </w:style>
  <w:style w:type="character" w:customStyle="1" w:styleId="40">
    <w:name w:val="Book Title"/>
    <w:basedOn w:val="17"/>
    <w:qFormat/>
    <w:uiPriority w:val="33"/>
    <w:rPr>
      <w:b/>
      <w:bCs/>
      <w:smallCaps/>
      <w:color w:val="auto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3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927</Characters>
  <Lines>7</Lines>
  <Paragraphs>2</Paragraphs>
  <TotalTime>2</TotalTime>
  <ScaleCrop>false</ScaleCrop>
  <LinksUpToDate>false</LinksUpToDate>
  <CharactersWithSpaces>1087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2019-06-07T14:51:00Z</dcterms:created>
  <dc:creator>树亮 门</dc:creator>
  <cp:lastModifiedBy>谷芬</cp:lastModifiedBy>
  <dcterms:modified xsi:type="dcterms:W3CDTF">2021-06-17T13:19:18Z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D6513F40EFE0446CA95C3F1D250CA03D</vt:lpwstr>
  </property>
</Properties>
</file>