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rPr>
      </w:pPr>
    </w:p>
    <w:p>
      <w:pPr>
        <w:spacing w:line="1000" w:lineRule="exact"/>
        <w:jc w:val="center"/>
        <w:rPr>
          <w:rFonts w:hint="default" w:ascii="仿宋" w:hAnsi="仿宋" w:eastAsia="仿宋"/>
          <w:b/>
          <w:color w:val="auto"/>
          <w:sz w:val="72"/>
          <w:szCs w:val="72"/>
          <w:lang w:val="en-US"/>
        </w:rPr>
      </w:pPr>
      <w:bookmarkStart w:id="0" w:name="_Hlk38472698"/>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44"/>
          <w:szCs w:val="44"/>
        </w:rPr>
      </w:pPr>
      <w:r>
        <w:rPr>
          <w:rFonts w:hint="eastAsia" w:ascii="仿宋" w:hAnsi="仿宋" w:eastAsia="仿宋"/>
          <w:b/>
          <w:color w:val="auto"/>
          <w:sz w:val="44"/>
          <w:szCs w:val="44"/>
          <w:lang w:val="en-US" w:eastAsia="zh-CN"/>
        </w:rPr>
        <w:t>肇庆校区教师工作室窗帘、浴帘采购及安装项目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530" w:firstLineChars="7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A-XJ2021-13</w:t>
      </w:r>
    </w:p>
    <w:p>
      <w:pPr>
        <w:spacing w:line="500" w:lineRule="exact"/>
        <w:ind w:firstLine="1807" w:firstLineChars="500"/>
        <w:rPr>
          <w:rFonts w:hint="eastAsia" w:ascii="仿宋" w:hAnsi="仿宋" w:eastAsia="仿宋"/>
          <w:b/>
          <w:color w:val="auto"/>
          <w:sz w:val="36"/>
          <w:szCs w:val="36"/>
          <w:lang w:val="en-US" w:eastAsia="zh-CN"/>
        </w:rPr>
      </w:pPr>
      <w:bookmarkStart w:id="1" w:name="_Toc160880118"/>
      <w:bookmarkStart w:id="2" w:name="_Toc169332792"/>
      <w:bookmarkStart w:id="3" w:name="_Toc160880485"/>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59520819"/>
      <w:bookmarkStart w:id="5" w:name="_Toc255974963"/>
      <w:bookmarkStart w:id="6" w:name="_Toc259692600"/>
      <w:bookmarkStart w:id="7" w:name="_Toc266870861"/>
      <w:bookmarkStart w:id="8" w:name="_Toc267060407"/>
      <w:bookmarkStart w:id="9" w:name="_Toc225669277"/>
      <w:bookmarkStart w:id="10" w:name="_Toc177985424"/>
      <w:bookmarkStart w:id="11" w:name="_Toc267060022"/>
      <w:bookmarkStart w:id="12" w:name="_Toc160880487"/>
      <w:bookmarkStart w:id="13" w:name="_Toc267059519"/>
      <w:bookmarkStart w:id="14" w:name="_Toc259692693"/>
      <w:bookmarkStart w:id="15" w:name="_Toc273178686"/>
      <w:bookmarkStart w:id="16" w:name="_Toc267059633"/>
      <w:bookmarkStart w:id="17" w:name="_Toc267059161"/>
      <w:bookmarkStart w:id="18" w:name="_Toc169332794"/>
      <w:bookmarkStart w:id="19" w:name="_Toc236021402"/>
      <w:bookmarkStart w:id="20" w:name="_Toc266868624"/>
      <w:bookmarkStart w:id="21" w:name="_Toc212526081"/>
      <w:bookmarkStart w:id="22" w:name="_Toc251613780"/>
      <w:bookmarkStart w:id="23" w:name="_Toc267059010"/>
      <w:bookmarkStart w:id="24" w:name="_Toc212456146"/>
      <w:bookmarkStart w:id="25" w:name="_Toc235438297"/>
      <w:bookmarkStart w:id="26" w:name="_Toc254790852"/>
      <w:bookmarkStart w:id="27" w:name="_Toc267060162"/>
      <w:bookmarkStart w:id="28" w:name="_Toc267059786"/>
      <w:bookmarkStart w:id="29" w:name="_Toc253066567"/>
      <w:bookmarkStart w:id="30" w:name="_Toc207014580"/>
      <w:bookmarkStart w:id="31" w:name="_Toc235438227"/>
      <w:bookmarkStart w:id="32" w:name="_Toc169332904"/>
      <w:bookmarkStart w:id="33" w:name="_Toc258401210"/>
      <w:bookmarkStart w:id="34" w:name="_Toc212530253"/>
      <w:bookmarkStart w:id="35" w:name="_Toc251586187"/>
      <w:bookmarkStart w:id="36" w:name="_Toc219800200"/>
      <w:bookmarkStart w:id="37" w:name="_Toc212454753"/>
      <w:bookmarkStart w:id="38" w:name="_Toc249325665"/>
      <w:bookmarkStart w:id="39" w:name="_Toc266870386"/>
      <w:bookmarkStart w:id="40" w:name="_Toc223146565"/>
      <w:bookmarkStart w:id="41" w:name="_Toc217891359"/>
      <w:bookmarkStart w:id="42" w:name="_Toc266868924"/>
      <w:bookmarkStart w:id="43" w:name="_Toc235437942"/>
      <w:bookmarkStart w:id="44" w:name="_Toc170798743"/>
      <w:bookmarkStart w:id="45" w:name="_Toc216241307"/>
      <w:bookmarkStart w:id="46" w:name="_Toc211937196"/>
      <w:bookmarkStart w:id="47" w:name="_Toc227058483"/>
      <w:bookmarkStart w:id="48" w:name="_Toc267059899"/>
      <w:r>
        <w:rPr>
          <w:rFonts w:hint="eastAsia" w:ascii="仿宋" w:hAnsi="仿宋" w:eastAsia="仿宋"/>
          <w:b/>
          <w:color w:val="auto"/>
          <w:sz w:val="36"/>
          <w:szCs w:val="36"/>
          <w:lang w:val="en-US" w:eastAsia="zh-CN"/>
        </w:rPr>
        <w:t>肇庆校区教师工作室窗帘、</w:t>
      </w:r>
    </w:p>
    <w:p>
      <w:pPr>
        <w:spacing w:line="500" w:lineRule="exact"/>
        <w:ind w:firstLine="3614" w:firstLineChars="1000"/>
        <w:rPr>
          <w:rFonts w:hint="eastAsia" w:ascii="仿宋" w:hAnsi="仿宋" w:eastAsia="仿宋"/>
          <w:b/>
          <w:color w:val="auto"/>
          <w:sz w:val="36"/>
          <w:szCs w:val="36"/>
          <w:lang w:val="en-US" w:eastAsia="zh-CN"/>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b/>
          <w:color w:val="auto"/>
          <w:sz w:val="36"/>
          <w:szCs w:val="36"/>
          <w:lang w:val="en-US" w:eastAsia="zh-CN"/>
        </w:rPr>
        <w:t>浴帘采购及安装项目</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肇庆校区教师工作室窗帘、浴帘采购及安装项目</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A-XJ2021-13</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项目名称：广州应用科技学院肇庆校区教师工作室</w:t>
      </w:r>
      <w:r>
        <w:rPr>
          <w:rFonts w:hint="eastAsia" w:ascii="仿宋" w:hAnsi="仿宋" w:eastAsia="仿宋"/>
          <w:color w:val="auto"/>
          <w:sz w:val="28"/>
          <w:szCs w:val="28"/>
          <w:lang w:eastAsia="zh-CN"/>
        </w:rPr>
        <w:t>窗帘、浴帘</w:t>
      </w:r>
      <w:r>
        <w:rPr>
          <w:rFonts w:hint="eastAsia" w:ascii="仿宋" w:hAnsi="仿宋" w:eastAsia="仿宋"/>
          <w:color w:val="auto"/>
          <w:sz w:val="28"/>
          <w:szCs w:val="28"/>
        </w:rPr>
        <w:t>采购及安装项目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具有独立承担民事责任的能力</w:t>
      </w:r>
      <w:r>
        <w:rPr>
          <w:rFonts w:hint="eastAsia" w:ascii="仿宋" w:hAnsi="仿宋" w:eastAsia="仿宋"/>
          <w:color w:val="auto"/>
          <w:sz w:val="28"/>
          <w:szCs w:val="28"/>
        </w:rPr>
        <w:t>。</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w:t>
      </w:r>
      <w:r>
        <w:rPr>
          <w:rFonts w:hint="eastAsia" w:ascii="仿宋" w:hAnsi="仿宋" w:eastAsia="仿宋"/>
          <w:color w:val="auto"/>
          <w:sz w:val="28"/>
          <w:szCs w:val="28"/>
          <w:lang w:val="en-US" w:eastAsia="zh-CN"/>
        </w:rPr>
        <w:t>窗帘</w:t>
      </w:r>
      <w:r>
        <w:rPr>
          <w:rFonts w:ascii="仿宋" w:hAnsi="仿宋" w:eastAsia="仿宋"/>
          <w:color w:val="auto"/>
          <w:sz w:val="28"/>
          <w:szCs w:val="28"/>
        </w:rPr>
        <w:t>和</w:t>
      </w:r>
      <w:r>
        <w:rPr>
          <w:rFonts w:hint="eastAsia" w:ascii="仿宋" w:hAnsi="仿宋" w:eastAsia="仿宋"/>
          <w:color w:val="auto"/>
          <w:sz w:val="28"/>
          <w:szCs w:val="28"/>
          <w:lang w:val="en-US" w:eastAsia="zh-CN"/>
        </w:rPr>
        <w:t>相关</w:t>
      </w:r>
      <w:r>
        <w:rPr>
          <w:rFonts w:ascii="仿宋" w:hAnsi="仿宋" w:eastAsia="仿宋"/>
          <w:color w:val="auto"/>
          <w:sz w:val="28"/>
          <w:szCs w:val="28"/>
        </w:rPr>
        <w:t>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hint="eastAsia"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hint="eastAsia" w:ascii="仿宋" w:hAnsi="仿宋" w:eastAsia="仿宋"/>
          <w:color w:val="auto"/>
          <w:sz w:val="28"/>
          <w:szCs w:val="28"/>
          <w:lang w:val="en-US" w:eastAsia="zh-CN"/>
        </w:rPr>
      </w:pPr>
      <w:r>
        <w:rPr>
          <w:rFonts w:hint="eastAsia" w:ascii="仿宋" w:hAnsi="仿宋" w:eastAsia="仿宋"/>
          <w:b/>
          <w:bCs/>
          <w:color w:val="auto"/>
          <w:sz w:val="28"/>
          <w:szCs w:val="28"/>
          <w:lang w:val="en-US" w:eastAsia="zh-CN"/>
        </w:rPr>
        <w:t>报名方式：在约定时间内到肇庆校区现场量尺寸、查看样品，再进行密封报价</w:t>
      </w:r>
      <w:r>
        <w:rPr>
          <w:rFonts w:hint="eastAsia" w:ascii="仿宋" w:hAnsi="仿宋" w:eastAsia="仿宋"/>
          <w:color w:val="auto"/>
          <w:sz w:val="28"/>
          <w:szCs w:val="28"/>
          <w:lang w:val="en-US" w:eastAsia="zh-CN"/>
        </w:rPr>
        <w:t>。（</w:t>
      </w:r>
      <w:r>
        <w:rPr>
          <w:rFonts w:hint="eastAsia" w:ascii="仿宋" w:hAnsi="仿宋" w:eastAsia="仿宋"/>
          <w:b/>
          <w:bCs/>
          <w:color w:val="auto"/>
          <w:sz w:val="28"/>
          <w:szCs w:val="28"/>
          <w:lang w:val="en-US" w:eastAsia="zh-CN"/>
        </w:rPr>
        <w:t>本项目成交参与人需提供窗帘、浴帘、轨道的材料样品。）</w:t>
      </w:r>
    </w:p>
    <w:p>
      <w:pPr>
        <w:widowControl w:val="0"/>
        <w:numPr>
          <w:ilvl w:val="1"/>
          <w:numId w:val="1"/>
        </w:numPr>
        <w:spacing w:after="0" w:line="500" w:lineRule="exact"/>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查看现场和样板的时间、地点、联系人</w:t>
      </w:r>
    </w:p>
    <w:p>
      <w:pPr>
        <w:widowControl w:val="0"/>
        <w:numPr>
          <w:ilvl w:val="0"/>
          <w:numId w:val="0"/>
        </w:numPr>
        <w:spacing w:after="0" w:line="500" w:lineRule="exact"/>
        <w:ind w:left="838" w:leftChars="381" w:firstLine="0" w:firstLine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时间：</w:t>
      </w:r>
      <w:r>
        <w:rPr>
          <w:rFonts w:hint="eastAsia" w:ascii="仿宋" w:hAnsi="仿宋" w:eastAsia="仿宋"/>
          <w:color w:val="auto"/>
          <w:sz w:val="28"/>
          <w:szCs w:val="28"/>
          <w:u w:val="single"/>
          <w:lang w:val="en-US" w:eastAsia="zh-CN"/>
        </w:rPr>
        <w:t>2021年4月23日下午2:30</w:t>
      </w:r>
      <w:r>
        <w:rPr>
          <w:rFonts w:hint="eastAsia" w:ascii="仿宋" w:hAnsi="仿宋" w:eastAsia="仿宋"/>
          <w:color w:val="auto"/>
          <w:sz w:val="28"/>
          <w:szCs w:val="28"/>
          <w:lang w:val="en-US" w:eastAsia="zh-CN"/>
        </w:rPr>
        <w:t>。</w:t>
      </w:r>
    </w:p>
    <w:p>
      <w:pPr>
        <w:widowControl w:val="0"/>
        <w:numPr>
          <w:ilvl w:val="0"/>
          <w:numId w:val="0"/>
        </w:numPr>
        <w:spacing w:after="0" w:line="500" w:lineRule="exact"/>
        <w:ind w:firstLine="840" w:firstLineChars="3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地点：</w:t>
      </w:r>
      <w:r>
        <w:rPr>
          <w:rFonts w:hint="eastAsia" w:ascii="仿宋" w:hAnsi="仿宋" w:eastAsia="仿宋"/>
          <w:color w:val="auto"/>
          <w:sz w:val="28"/>
          <w:szCs w:val="28"/>
          <w:u w:val="single"/>
          <w:lang w:val="en-US" w:eastAsia="zh-CN"/>
        </w:rPr>
        <w:t>广东省肇庆市鼎湖区莲花镇广州应用科技学院肇庆校区</w:t>
      </w:r>
      <w:r>
        <w:rPr>
          <w:rFonts w:hint="eastAsia" w:ascii="仿宋" w:hAnsi="仿宋" w:eastAsia="仿宋"/>
          <w:color w:val="auto"/>
          <w:sz w:val="28"/>
          <w:szCs w:val="28"/>
          <w:lang w:val="en-US" w:eastAsia="zh-CN"/>
        </w:rPr>
        <w:t>。</w:t>
      </w:r>
    </w:p>
    <w:p>
      <w:pPr>
        <w:widowControl w:val="0"/>
        <w:numPr>
          <w:ilvl w:val="0"/>
          <w:numId w:val="0"/>
        </w:numPr>
        <w:spacing w:after="0" w:line="500" w:lineRule="exact"/>
        <w:ind w:firstLine="840" w:firstLineChars="300"/>
        <w:rPr>
          <w:rFonts w:hint="eastAsia" w:ascii="仿宋" w:hAnsi="仿宋" w:eastAsia="仿宋"/>
          <w:color w:val="auto"/>
          <w:sz w:val="28"/>
          <w:szCs w:val="28"/>
        </w:rPr>
      </w:pPr>
      <w:r>
        <w:rPr>
          <w:rFonts w:hint="eastAsia" w:ascii="仿宋" w:hAnsi="仿宋" w:eastAsia="仿宋"/>
          <w:color w:val="auto"/>
          <w:sz w:val="28"/>
          <w:szCs w:val="28"/>
          <w:lang w:val="en-US" w:eastAsia="zh-CN"/>
        </w:rPr>
        <w:t xml:space="preserve">联系人： </w:t>
      </w:r>
      <w:r>
        <w:rPr>
          <w:rFonts w:hint="eastAsia" w:ascii="仿宋" w:hAnsi="仿宋" w:eastAsia="仿宋"/>
          <w:color w:val="auto"/>
          <w:sz w:val="28"/>
          <w:szCs w:val="28"/>
          <w:u w:val="single"/>
          <w:lang w:val="en-US" w:eastAsia="zh-CN"/>
        </w:rPr>
        <w:t>彭凌</w:t>
      </w:r>
      <w:r>
        <w:rPr>
          <w:rFonts w:hint="eastAsia" w:ascii="仿宋" w:hAnsi="仿宋" w:eastAsia="仿宋"/>
          <w:color w:val="auto"/>
          <w:sz w:val="28"/>
          <w:szCs w:val="28"/>
          <w:lang w:val="en-US" w:eastAsia="zh-CN"/>
        </w:rPr>
        <w:t xml:space="preserve"> ；联系电话</w:t>
      </w:r>
      <w:r>
        <w:rPr>
          <w:rFonts w:hint="eastAsia" w:ascii="仿宋" w:hAnsi="仿宋" w:eastAsia="仿宋"/>
          <w:color w:val="auto"/>
          <w:sz w:val="28"/>
          <w:szCs w:val="28"/>
          <w:u w:val="single"/>
          <w:lang w:val="en-US" w:eastAsia="zh-CN"/>
        </w:rPr>
        <w:t>15913126698</w:t>
      </w:r>
      <w:r>
        <w:rPr>
          <w:rFonts w:hint="eastAsia" w:ascii="仿宋" w:hAnsi="仿宋" w:eastAsia="仿宋"/>
          <w:color w:val="auto"/>
          <w:sz w:val="28"/>
          <w:szCs w:val="28"/>
          <w:lang w:val="en-US" w:eastAsia="zh-CN"/>
        </w:rPr>
        <w:t>。</w:t>
      </w:r>
    </w:p>
    <w:p>
      <w:pPr>
        <w:widowControl w:val="0"/>
        <w:numPr>
          <w:ilvl w:val="1"/>
          <w:numId w:val="1"/>
        </w:numPr>
        <w:spacing w:after="0" w:line="500" w:lineRule="exact"/>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报价响应文件递交截止时间、方式、地点、联系人</w:t>
      </w:r>
    </w:p>
    <w:p>
      <w:pPr>
        <w:widowControl w:val="0"/>
        <w:numPr>
          <w:ilvl w:val="0"/>
          <w:numId w:val="0"/>
        </w:numPr>
        <w:spacing w:after="0" w:line="500" w:lineRule="exact"/>
        <w:ind w:left="838" w:leftChars="381" w:firstLine="0" w:firstLine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报价响应文件递交方式：密封报价并现场递交。</w:t>
      </w:r>
    </w:p>
    <w:p>
      <w:pPr>
        <w:widowControl w:val="0"/>
        <w:numPr>
          <w:ilvl w:val="0"/>
          <w:numId w:val="0"/>
        </w:numPr>
        <w:spacing w:after="0" w:line="500" w:lineRule="exact"/>
        <w:ind w:left="838" w:leftChars="381"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报价响应文件递交截止时间：</w:t>
      </w:r>
      <w:r>
        <w:rPr>
          <w:rFonts w:hint="eastAsia" w:ascii="仿宋" w:hAnsi="仿宋" w:eastAsia="仿宋"/>
          <w:color w:val="auto"/>
          <w:sz w:val="28"/>
          <w:szCs w:val="28"/>
          <w:u w:val="single"/>
          <w:lang w:val="en-US" w:eastAsia="zh-CN"/>
        </w:rPr>
        <w:t>2021年4月27 日上午10:00前</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838" w:leftChars="381" w:firstLine="0" w:firstLine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报价响应文件递交地点：广州市增城区朱村街朱村大道东432号广州应用科技学院资产管理与采购处办公室。</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袁艳莲</w:t>
      </w:r>
      <w:r>
        <w:rPr>
          <w:rFonts w:hint="eastAsia" w:ascii="仿宋" w:hAnsi="仿宋" w:eastAsia="仿宋"/>
          <w:color w:val="auto"/>
          <w:sz w:val="28"/>
          <w:szCs w:val="28"/>
        </w:rPr>
        <w:t>；联系电话：</w:t>
      </w:r>
      <w:r>
        <w:rPr>
          <w:rFonts w:hint="eastAsia" w:ascii="仿宋" w:hAnsi="仿宋" w:eastAsia="仿宋"/>
          <w:color w:val="auto"/>
          <w:sz w:val="28"/>
          <w:szCs w:val="28"/>
          <w:u w:val="single"/>
        </w:rPr>
        <w:t>13229405771</w:t>
      </w:r>
      <w:r>
        <w:rPr>
          <w:rFonts w:hint="eastAsia" w:ascii="仿宋" w:hAnsi="仿宋" w:eastAsia="仿宋"/>
          <w:color w:val="auto"/>
          <w:sz w:val="28"/>
          <w:szCs w:val="28"/>
          <w:u w:val="none"/>
          <w:lang w:eastAsia="zh-CN"/>
        </w:rPr>
        <w:t>。</w:t>
      </w:r>
    </w:p>
    <w:p>
      <w:pPr>
        <w:spacing w:after="0" w:line="500" w:lineRule="exact"/>
        <w:ind w:left="839"/>
        <w:rPr>
          <w:rFonts w:hint="eastAsia" w:ascii="仿宋" w:hAnsi="仿宋" w:eastAsia="仿宋"/>
          <w:b/>
          <w:bCs/>
          <w:color w:val="auto"/>
          <w:sz w:val="28"/>
          <w:szCs w:val="28"/>
          <w:u w:val="none"/>
        </w:rPr>
      </w:pPr>
      <w:r>
        <w:rPr>
          <w:rFonts w:hint="eastAsia" w:ascii="仿宋" w:hAnsi="仿宋" w:eastAsia="仿宋"/>
          <w:b/>
          <w:bCs/>
          <w:color w:val="auto"/>
          <w:sz w:val="28"/>
          <w:szCs w:val="28"/>
          <w:u w:val="none"/>
        </w:rPr>
        <w:t>本项目监督投诉部门：中教集团内控部；投诉电话： 0791-88102608；</w:t>
      </w:r>
    </w:p>
    <w:p>
      <w:pPr>
        <w:spacing w:after="0" w:line="500" w:lineRule="exact"/>
        <w:ind w:left="839"/>
        <w:rPr>
          <w:rFonts w:hint="eastAsia" w:ascii="仿宋" w:hAnsi="仿宋" w:eastAsia="仿宋"/>
          <w:b/>
          <w:bCs/>
          <w:color w:val="auto"/>
          <w:sz w:val="28"/>
          <w:szCs w:val="28"/>
          <w:u w:val="none"/>
        </w:rPr>
      </w:pPr>
      <w:r>
        <w:rPr>
          <w:rFonts w:hint="eastAsia" w:ascii="仿宋" w:hAnsi="仿宋" w:eastAsia="仿宋"/>
          <w:b/>
          <w:bCs/>
          <w:color w:val="auto"/>
          <w:sz w:val="28"/>
          <w:szCs w:val="28"/>
          <w:u w:val="none"/>
        </w:rPr>
        <w:t>投诉邮箱：</w:t>
      </w:r>
      <w:r>
        <w:rPr>
          <w:rFonts w:hint="eastAsia" w:ascii="仿宋" w:hAnsi="仿宋" w:eastAsia="仿宋"/>
          <w:b/>
          <w:bCs/>
          <w:color w:val="auto"/>
          <w:sz w:val="28"/>
          <w:szCs w:val="28"/>
          <w:u w:val="none"/>
        </w:rPr>
        <w:fldChar w:fldCharType="begin"/>
      </w:r>
      <w:r>
        <w:rPr>
          <w:rFonts w:hint="eastAsia" w:ascii="仿宋" w:hAnsi="仿宋" w:eastAsia="仿宋"/>
          <w:b/>
          <w:bCs/>
          <w:color w:val="auto"/>
          <w:sz w:val="28"/>
          <w:szCs w:val="28"/>
          <w:u w:val="none"/>
        </w:rPr>
        <w:instrText xml:space="preserve"> HYPERLINK "mailto:Neikongbu@educationgroup.cn" </w:instrText>
      </w:r>
      <w:r>
        <w:rPr>
          <w:rFonts w:hint="eastAsia" w:ascii="仿宋" w:hAnsi="仿宋" w:eastAsia="仿宋"/>
          <w:b/>
          <w:bCs/>
          <w:color w:val="auto"/>
          <w:sz w:val="28"/>
          <w:szCs w:val="28"/>
          <w:u w:val="none"/>
        </w:rPr>
        <w:fldChar w:fldCharType="separate"/>
      </w:r>
      <w:r>
        <w:rPr>
          <w:rStyle w:val="28"/>
          <w:rFonts w:hint="eastAsia" w:ascii="仿宋" w:hAnsi="仿宋" w:eastAsia="仿宋"/>
          <w:b/>
          <w:bCs/>
          <w:color w:val="auto"/>
          <w:sz w:val="28"/>
          <w:szCs w:val="28"/>
        </w:rPr>
        <w:t>Neikongbu@educationgroup.cn</w:t>
      </w:r>
      <w:r>
        <w:rPr>
          <w:rFonts w:hint="eastAsia" w:ascii="仿宋" w:hAnsi="仿宋" w:eastAsia="仿宋"/>
          <w:b/>
          <w:bCs/>
          <w:color w:val="auto"/>
          <w:sz w:val="28"/>
          <w:szCs w:val="28"/>
          <w:u w:val="none"/>
        </w:rPr>
        <w:fldChar w:fldCharType="end"/>
      </w:r>
    </w:p>
    <w:p>
      <w:pPr>
        <w:spacing w:after="0" w:line="500" w:lineRule="exact"/>
        <w:ind w:left="839"/>
        <w:rPr>
          <w:rFonts w:ascii="仿宋" w:hAnsi="仿宋" w:eastAsia="仿宋"/>
          <w:color w:val="auto"/>
          <w:sz w:val="28"/>
          <w:szCs w:val="28"/>
        </w:rPr>
      </w:pPr>
      <w:r>
        <w:rPr>
          <w:rFonts w:hint="eastAsia" w:ascii="仿宋" w:hAnsi="仿宋" w:eastAsia="仿宋"/>
          <w:b/>
          <w:bCs/>
          <w:color w:val="auto"/>
          <w:sz w:val="28"/>
          <w:szCs w:val="28"/>
          <w:u w:val="none"/>
        </w:rPr>
        <w:t>本项目最终成交结果会在中教集团后勤贤知平台“中标信息公示”板块公示，网址：www.ceghqxz.com</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四、确定成交参与人标准及原则</w:t>
      </w:r>
    </w:p>
    <w:p>
      <w:pPr>
        <w:widowControl w:val="0"/>
        <w:numPr>
          <w:ilvl w:val="0"/>
          <w:numId w:val="0"/>
        </w:numPr>
        <w:spacing w:after="0" w:line="500" w:lineRule="exact"/>
        <w:ind w:left="220" w:leftChars="0"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所投设备符合采购需求、质量和服务要求,经过磋商评分，所报价格为合理价格的参与人为成交参与人，最低报价不作为成交的保证。</w:t>
      </w:r>
    </w:p>
    <w:p>
      <w:pPr>
        <w:widowControl w:val="0"/>
        <w:numPr>
          <w:ilvl w:val="0"/>
          <w:numId w:val="0"/>
        </w:numPr>
        <w:spacing w:after="0" w:line="500" w:lineRule="exact"/>
        <w:ind w:left="220" w:leftChars="0"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评分标准：价格占比50%，产品技术参数占比45%，商务占比5%。</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五、付款方式</w:t>
      </w:r>
    </w:p>
    <w:p>
      <w:pPr>
        <w:widowControl w:val="0"/>
        <w:numPr>
          <w:ilvl w:val="0"/>
          <w:numId w:val="0"/>
        </w:numPr>
        <w:spacing w:after="0" w:line="500" w:lineRule="exact"/>
        <w:ind w:left="220" w:leftChars="0"/>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 全部货物到货安装完毕，经甲方验收合格签署验收表后，乙方提出请款函由甲方签字确认，且收到乙方开具合同全额增值税普通发票后，20个工作日内甲方向乙方支付合同总金额的95％。                                                                                                       2. 验收合格算起一年后，甲方组织二次验收，二次验收通过后，20个工作日内甲方向乙方无息退还质保金，即合同总金额的5％，乙方需提供质保金退款申请函。</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rPr>
          <w:rFonts w:hint="eastAsia" w:ascii="仿宋" w:hAnsi="仿宋" w:eastAsia="仿宋"/>
          <w:color w:val="auto"/>
          <w:sz w:val="28"/>
          <w:szCs w:val="28"/>
          <w:lang w:val="en-US" w:eastAsia="zh-CN"/>
        </w:rPr>
      </w:pPr>
    </w:p>
    <w:p>
      <w:pPr>
        <w:widowControl w:val="0"/>
        <w:numPr>
          <w:ilvl w:val="0"/>
          <w:numId w:val="0"/>
        </w:numPr>
        <w:spacing w:after="0" w:line="500" w:lineRule="exact"/>
        <w:rPr>
          <w:rFonts w:hint="eastAsia" w:ascii="仿宋" w:hAnsi="仿宋" w:eastAsia="仿宋"/>
          <w:color w:val="auto"/>
          <w:sz w:val="28"/>
          <w:szCs w:val="28"/>
          <w:lang w:val="en-US" w:eastAsia="zh-CN"/>
        </w:rPr>
      </w:pPr>
    </w:p>
    <w:p>
      <w:pPr>
        <w:widowControl w:val="0"/>
        <w:numPr>
          <w:ilvl w:val="0"/>
          <w:numId w:val="0"/>
        </w:numPr>
        <w:spacing w:after="0" w:line="500" w:lineRule="exact"/>
        <w:rPr>
          <w:rFonts w:hint="eastAsia" w:ascii="仿宋" w:hAnsi="仿宋" w:eastAsia="仿宋"/>
          <w:color w:val="auto"/>
          <w:sz w:val="28"/>
          <w:szCs w:val="28"/>
          <w:lang w:val="en-US" w:eastAsia="zh-CN"/>
        </w:rPr>
      </w:pPr>
    </w:p>
    <w:p>
      <w:pPr>
        <w:widowControl w:val="0"/>
        <w:numPr>
          <w:ilvl w:val="0"/>
          <w:numId w:val="0"/>
        </w:numPr>
        <w:spacing w:after="0" w:line="500" w:lineRule="exact"/>
        <w:rPr>
          <w:rFonts w:hint="eastAsia" w:ascii="仿宋" w:hAnsi="仿宋" w:eastAsia="仿宋"/>
          <w:color w:val="auto"/>
          <w:sz w:val="28"/>
          <w:szCs w:val="28"/>
          <w:lang w:val="en-US" w:eastAsia="zh-CN"/>
        </w:rPr>
      </w:pPr>
    </w:p>
    <w:p>
      <w:pPr>
        <w:widowControl w:val="0"/>
        <w:numPr>
          <w:ilvl w:val="0"/>
          <w:numId w:val="0"/>
        </w:numPr>
        <w:spacing w:after="0" w:line="500" w:lineRule="exact"/>
        <w:rPr>
          <w:rFonts w:hint="eastAsia" w:ascii="仿宋" w:hAnsi="仿宋" w:eastAsia="仿宋"/>
          <w:color w:val="auto"/>
          <w:sz w:val="28"/>
          <w:szCs w:val="28"/>
          <w:lang w:val="en-US" w:eastAsia="zh-CN"/>
        </w:rPr>
      </w:pPr>
    </w:p>
    <w:p>
      <w:pPr>
        <w:widowControl w:val="0"/>
        <w:numPr>
          <w:ilvl w:val="0"/>
          <w:numId w:val="0"/>
        </w:numPr>
        <w:spacing w:after="0" w:line="500" w:lineRule="exact"/>
        <w:rPr>
          <w:rFonts w:hint="eastAsia" w:ascii="仿宋" w:hAnsi="仿宋" w:eastAsia="仿宋"/>
          <w:color w:val="auto"/>
          <w:sz w:val="28"/>
          <w:szCs w:val="28"/>
          <w:lang w:val="en-US" w:eastAsia="zh-CN"/>
        </w:rPr>
      </w:pPr>
    </w:p>
    <w:p>
      <w:pPr>
        <w:widowControl w:val="0"/>
        <w:numPr>
          <w:ilvl w:val="0"/>
          <w:numId w:val="0"/>
        </w:numPr>
        <w:spacing w:after="0" w:line="500" w:lineRule="exact"/>
        <w:rPr>
          <w:rFonts w:hint="eastAsia" w:ascii="仿宋" w:hAnsi="仿宋" w:eastAsia="仿宋"/>
          <w:color w:val="auto"/>
          <w:sz w:val="28"/>
          <w:szCs w:val="28"/>
          <w:lang w:val="en-US" w:eastAsia="zh-CN"/>
        </w:rPr>
      </w:pPr>
    </w:p>
    <w:p>
      <w:pPr>
        <w:widowControl w:val="0"/>
        <w:numPr>
          <w:ilvl w:val="0"/>
          <w:numId w:val="0"/>
        </w:numPr>
        <w:spacing w:after="0" w:line="500" w:lineRule="exact"/>
        <w:rPr>
          <w:rFonts w:hint="eastAsia" w:ascii="仿宋" w:hAnsi="仿宋" w:eastAsia="仿宋"/>
          <w:color w:val="auto"/>
          <w:sz w:val="28"/>
          <w:szCs w:val="28"/>
          <w:lang w:val="en-US" w:eastAsia="zh-CN"/>
        </w:rPr>
      </w:pPr>
    </w:p>
    <w:p>
      <w:pPr>
        <w:widowControl w:val="0"/>
        <w:numPr>
          <w:ilvl w:val="0"/>
          <w:numId w:val="0"/>
        </w:numPr>
        <w:spacing w:after="0" w:line="500" w:lineRule="exact"/>
        <w:rPr>
          <w:rFonts w:hint="eastAsia" w:ascii="仿宋" w:hAnsi="仿宋" w:eastAsia="仿宋"/>
          <w:color w:val="auto"/>
          <w:sz w:val="28"/>
          <w:szCs w:val="28"/>
          <w:lang w:val="en-US" w:eastAsia="zh-CN"/>
        </w:rPr>
      </w:pPr>
    </w:p>
    <w:p>
      <w:pPr>
        <w:pStyle w:val="52"/>
        <w:numPr>
          <w:ilvl w:val="0"/>
          <w:numId w:val="2"/>
        </w:numPr>
        <w:spacing w:line="360" w:lineRule="auto"/>
        <w:jc w:val="center"/>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p>
      <w:pPr>
        <w:widowControl w:val="0"/>
        <w:spacing w:after="0" w:line="500" w:lineRule="exact"/>
        <w:jc w:val="left"/>
        <w:rPr>
          <w:rFonts w:hint="eastAsia" w:ascii="仿宋" w:hAnsi="仿宋" w:eastAsia="仿宋"/>
          <w:color w:val="auto"/>
          <w:sz w:val="28"/>
          <w:szCs w:val="28"/>
          <w:lang w:val="en-US" w:eastAsia="zh-CN"/>
        </w:rPr>
      </w:pPr>
    </w:p>
    <w:tbl>
      <w:tblPr>
        <w:tblStyle w:val="24"/>
        <w:tblW w:w="10076" w:type="dxa"/>
        <w:tblInd w:w="-5" w:type="dxa"/>
        <w:tblLayout w:type="fixed"/>
        <w:tblCellMar>
          <w:top w:w="0" w:type="dxa"/>
          <w:left w:w="108" w:type="dxa"/>
          <w:bottom w:w="0" w:type="dxa"/>
          <w:right w:w="108" w:type="dxa"/>
        </w:tblCellMar>
      </w:tblPr>
      <w:tblGrid>
        <w:gridCol w:w="710"/>
        <w:gridCol w:w="751"/>
        <w:gridCol w:w="2210"/>
        <w:gridCol w:w="1431"/>
        <w:gridCol w:w="709"/>
        <w:gridCol w:w="723"/>
        <w:gridCol w:w="1105"/>
        <w:gridCol w:w="1077"/>
        <w:gridCol w:w="1360"/>
      </w:tblGrid>
      <w:tr>
        <w:tblPrEx>
          <w:tblCellMar>
            <w:top w:w="0" w:type="dxa"/>
            <w:left w:w="108" w:type="dxa"/>
            <w:bottom w:w="0" w:type="dxa"/>
            <w:right w:w="108" w:type="dxa"/>
          </w:tblCellMar>
        </w:tblPrEx>
        <w:trPr>
          <w:trHeight w:val="492"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22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规格尺寸</w:t>
            </w:r>
          </w:p>
        </w:tc>
        <w:tc>
          <w:tcPr>
            <w:tcW w:w="143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材料参数</w:t>
            </w:r>
          </w:p>
        </w:tc>
        <w:tc>
          <w:tcPr>
            <w:tcW w:w="7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72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tc>
        <w:tc>
          <w:tcPr>
            <w:tcW w:w="11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单价</w:t>
            </w:r>
          </w:p>
        </w:tc>
        <w:tc>
          <w:tcPr>
            <w:tcW w:w="10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金额</w:t>
            </w:r>
          </w:p>
        </w:tc>
        <w:tc>
          <w:tcPr>
            <w:tcW w:w="1360" w:type="dxa"/>
            <w:tcBorders>
              <w:top w:val="single" w:color="auto" w:sz="4" w:space="0"/>
              <w:left w:val="nil"/>
              <w:bottom w:val="single" w:color="auto" w:sz="4" w:space="0"/>
              <w:right w:val="single" w:color="auto" w:sz="4" w:space="0"/>
            </w:tcBorders>
            <w:vAlign w:val="center"/>
          </w:tcPr>
          <w:p>
            <w:pPr>
              <w:keepNext w:val="0"/>
              <w:keepLines w:val="0"/>
              <w:pageBreakBefore w:val="0"/>
              <w:widowControl/>
              <w:tabs>
                <w:tab w:val="left" w:pos="489"/>
                <w:tab w:val="center" w:pos="862"/>
              </w:tabs>
              <w:kinsoku/>
              <w:wordWrap/>
              <w:overflowPunct/>
              <w:topLinePunct w:val="0"/>
              <w:autoSpaceDE/>
              <w:autoSpaceDN/>
              <w:bidi w:val="0"/>
              <w:adjustRightInd/>
              <w:snapToGrid w:val="0"/>
              <w:spacing w:after="0" w:line="240" w:lineRule="auto"/>
              <w:jc w:val="left"/>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图片</w:t>
            </w:r>
          </w:p>
        </w:tc>
      </w:tr>
      <w:tr>
        <w:tblPrEx>
          <w:tblCellMar>
            <w:top w:w="0" w:type="dxa"/>
            <w:left w:w="108" w:type="dxa"/>
            <w:bottom w:w="0" w:type="dxa"/>
            <w:right w:w="108" w:type="dxa"/>
          </w:tblCellMar>
        </w:tblPrEx>
        <w:trPr>
          <w:trHeight w:val="776"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7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窗帘</w:t>
            </w:r>
          </w:p>
        </w:tc>
        <w:tc>
          <w:tcPr>
            <w:tcW w:w="22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单人间：2.80*2.80m，含轨道及安装</w:t>
            </w:r>
          </w:p>
        </w:tc>
        <w:tc>
          <w:tcPr>
            <w:tcW w:w="14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厚度、遮光度、用料</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210</w:t>
            </w: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76"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7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窗帘</w:t>
            </w:r>
          </w:p>
        </w:tc>
        <w:tc>
          <w:tcPr>
            <w:tcW w:w="22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双人间：2.80*2.80m，含轨道及安装</w:t>
            </w:r>
          </w:p>
        </w:tc>
        <w:tc>
          <w:tcPr>
            <w:tcW w:w="14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厚度、遮光度、用料</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w:t>
            </w: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21"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7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窗帘</w:t>
            </w:r>
          </w:p>
        </w:tc>
        <w:tc>
          <w:tcPr>
            <w:tcW w:w="22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大套间：2.80*2.70m、2.80*2.80m</w:t>
            </w:r>
          </w:p>
        </w:tc>
        <w:tc>
          <w:tcPr>
            <w:tcW w:w="14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厚度、遮光度、用料</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13"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7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窗帘</w:t>
            </w:r>
          </w:p>
        </w:tc>
        <w:tc>
          <w:tcPr>
            <w:tcW w:w="22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小套间：2.20*2.70m、2.70*2.70m</w:t>
            </w:r>
          </w:p>
        </w:tc>
        <w:tc>
          <w:tcPr>
            <w:tcW w:w="14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厚度、遮光度、用料</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48"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7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浴帘</w:t>
            </w:r>
          </w:p>
        </w:tc>
        <w:tc>
          <w:tcPr>
            <w:tcW w:w="22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单人间：1.23*2.30m，含浴帘杆及安装</w:t>
            </w:r>
          </w:p>
        </w:tc>
        <w:tc>
          <w:tcPr>
            <w:tcW w:w="14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防水材料，不锈钢浴帘圈</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210</w:t>
            </w: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76"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7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浴帘</w:t>
            </w:r>
          </w:p>
        </w:tc>
        <w:tc>
          <w:tcPr>
            <w:tcW w:w="22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双人间：1.23*2.30m，含浴帘杆及安装</w:t>
            </w:r>
          </w:p>
        </w:tc>
        <w:tc>
          <w:tcPr>
            <w:tcW w:w="14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防水材料，不锈钢浴帘圈</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w:t>
            </w: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845"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7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浴帘</w:t>
            </w:r>
          </w:p>
        </w:tc>
        <w:tc>
          <w:tcPr>
            <w:tcW w:w="22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大套间：1.22*2.25m，含浴帘杆及安装</w:t>
            </w:r>
          </w:p>
        </w:tc>
        <w:tc>
          <w:tcPr>
            <w:tcW w:w="14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防水材料，不锈钢浴帘圈</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839"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7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浴帘</w:t>
            </w:r>
          </w:p>
        </w:tc>
        <w:tc>
          <w:tcPr>
            <w:tcW w:w="22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小套间：1.32*2.30m，含浴帘杆及安装</w:t>
            </w:r>
          </w:p>
        </w:tc>
        <w:tc>
          <w:tcPr>
            <w:tcW w:w="143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防水材料，不锈钢浴帘圈</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c>
          <w:tcPr>
            <w:tcW w:w="72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11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721" w:hRule="atLeast"/>
        </w:trPr>
        <w:tc>
          <w:tcPr>
            <w:tcW w:w="10076"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备注：窗帘布多少元/米、窗帘布</w:t>
            </w:r>
            <w:r>
              <w:rPr>
                <w:rFonts w:hint="default" w:ascii="宋体" w:hAnsi="宋体" w:eastAsia="宋体" w:cs="宋体"/>
                <w:b/>
                <w:bCs/>
                <w:color w:val="auto"/>
                <w:sz w:val="24"/>
                <w:szCs w:val="24"/>
                <w:lang w:val="en-US" w:eastAsia="zh-CN"/>
              </w:rPr>
              <w:t>的褶皱倍数</w:t>
            </w:r>
            <w:r>
              <w:rPr>
                <w:rFonts w:hint="eastAsia" w:ascii="宋体" w:hAnsi="宋体" w:eastAsia="宋体" w:cs="宋体"/>
                <w:b/>
                <w:bCs/>
                <w:color w:val="auto"/>
                <w:sz w:val="24"/>
                <w:szCs w:val="24"/>
                <w:lang w:val="en-US" w:eastAsia="zh-CN"/>
              </w:rPr>
              <w:t>、轨道含安装多少元/米、浴帘多少元/米、浴帘杆多少元/米</w:t>
            </w:r>
          </w:p>
        </w:tc>
      </w:tr>
      <w:tr>
        <w:tblPrEx>
          <w:tblCellMar>
            <w:top w:w="0" w:type="dxa"/>
            <w:left w:w="108" w:type="dxa"/>
            <w:bottom w:w="0" w:type="dxa"/>
            <w:right w:w="108" w:type="dxa"/>
          </w:tblCellMar>
        </w:tblPrEx>
        <w:trPr>
          <w:trHeight w:val="701" w:hRule="atLeast"/>
        </w:trPr>
        <w:tc>
          <w:tcPr>
            <w:tcW w:w="10076"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合计金额（含税）：</w:t>
            </w:r>
          </w:p>
        </w:tc>
      </w:tr>
    </w:tbl>
    <w:p>
      <w:pPr>
        <w:widowControl w:val="0"/>
        <w:spacing w:after="0" w:line="500" w:lineRule="exact"/>
        <w:jc w:val="left"/>
        <w:rPr>
          <w:rFonts w:hint="eastAsia" w:ascii="仿宋" w:hAnsi="仿宋" w:eastAsia="仿宋"/>
          <w:b/>
          <w:bCs/>
          <w:color w:val="auto"/>
          <w:sz w:val="28"/>
          <w:szCs w:val="28"/>
          <w:lang w:val="zh-CN" w:eastAsia="zh-CN"/>
        </w:rPr>
      </w:pPr>
      <w:r>
        <w:rPr>
          <w:rFonts w:hint="eastAsia" w:ascii="仿宋" w:hAnsi="仿宋" w:eastAsia="仿宋"/>
          <w:b/>
          <w:bCs/>
          <w:color w:val="auto"/>
          <w:sz w:val="28"/>
          <w:szCs w:val="28"/>
          <w:lang w:val="en-US" w:eastAsia="zh-CN"/>
        </w:rPr>
        <w:t>备</w:t>
      </w:r>
      <w:r>
        <w:rPr>
          <w:rFonts w:hint="eastAsia" w:ascii="仿宋" w:hAnsi="仿宋" w:eastAsia="仿宋"/>
          <w:b/>
          <w:bCs/>
          <w:color w:val="auto"/>
          <w:sz w:val="28"/>
          <w:szCs w:val="28"/>
          <w:lang w:val="zh-CN" w:eastAsia="zh-CN"/>
        </w:rPr>
        <w:t>注：</w:t>
      </w:r>
    </w:p>
    <w:p>
      <w:pPr>
        <w:widowControl w:val="0"/>
        <w:numPr>
          <w:ilvl w:val="0"/>
          <w:numId w:val="3"/>
        </w:numPr>
        <w:spacing w:after="0" w:line="500" w:lineRule="exact"/>
        <w:jc w:val="left"/>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本项目报价规格尺寸以现场测量为准。</w:t>
      </w:r>
    </w:p>
    <w:p>
      <w:pPr>
        <w:widowControl w:val="0"/>
        <w:numPr>
          <w:ilvl w:val="0"/>
          <w:numId w:val="3"/>
        </w:numPr>
        <w:spacing w:after="0" w:line="500" w:lineRule="exact"/>
        <w:jc w:val="left"/>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上述报价已含材料费、配件费、安装费、搬运费、卫生费、保险费、现场管理费、税金等全部费用。提供正规增值税普通发票。</w:t>
      </w:r>
    </w:p>
    <w:p>
      <w:pPr>
        <w:widowControl w:val="0"/>
        <w:spacing w:after="0" w:line="500" w:lineRule="exact"/>
        <w:jc w:val="left"/>
        <w:rPr>
          <w:rFonts w:hint="eastAsia" w:ascii="仿宋" w:hAnsi="仿宋" w:eastAsia="仿宋"/>
          <w:b/>
          <w:bCs/>
          <w:color w:val="auto"/>
          <w:sz w:val="28"/>
          <w:szCs w:val="28"/>
          <w:lang w:val="en-US" w:eastAsia="zh-CN"/>
        </w:rPr>
        <w:sectPr>
          <w:headerReference r:id="rId8" w:type="first"/>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b/>
          <w:bCs/>
          <w:color w:val="auto"/>
          <w:sz w:val="28"/>
          <w:szCs w:val="28"/>
          <w:lang w:val="en-US" w:eastAsia="zh-CN"/>
        </w:rPr>
        <w:t>（三）报价须提供详细材料参数和产品图片，否则将视为没有实质性响应公开询价文件。</w:t>
      </w:r>
    </w:p>
    <w:p>
      <w:pPr>
        <w:widowControl w:val="0"/>
        <w:spacing w:after="0" w:line="500" w:lineRule="exact"/>
        <w:jc w:val="left"/>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（四）本次项目须注明供货及安装周期、质保年限。</w:t>
      </w:r>
    </w:p>
    <w:p>
      <w:pPr>
        <w:widowControl w:val="0"/>
        <w:spacing w:after="0" w:line="500" w:lineRule="exact"/>
        <w:jc w:val="left"/>
        <w:rPr>
          <w:rFonts w:hint="eastAsia" w:ascii="仿宋" w:hAnsi="仿宋" w:eastAsia="仿宋"/>
          <w:b w:val="0"/>
          <w:bCs w:val="0"/>
          <w:color w:val="auto"/>
          <w:sz w:val="28"/>
          <w:szCs w:val="28"/>
          <w:lang w:val="en-US" w:eastAsia="zh-CN"/>
        </w:rPr>
      </w:pPr>
    </w:p>
    <w:p>
      <w:pPr>
        <w:widowControl w:val="0"/>
        <w:spacing w:after="0" w:line="500" w:lineRule="exact"/>
        <w:jc w:val="lef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（五）安装地点如下：</w:t>
      </w:r>
    </w:p>
    <w:tbl>
      <w:tblPr>
        <w:tblStyle w:val="24"/>
        <w:tblpPr w:leftFromText="180" w:rightFromText="180" w:vertAnchor="page" w:horzAnchor="page" w:tblpX="1424" w:tblpY="2248"/>
        <w:tblOverlap w:val="never"/>
        <w:tblW w:w="9009" w:type="dxa"/>
        <w:jc w:val="center"/>
        <w:shd w:val="clear" w:color="auto" w:fill="auto"/>
        <w:tblLayout w:type="fixed"/>
        <w:tblCellMar>
          <w:top w:w="0" w:type="dxa"/>
          <w:left w:w="108" w:type="dxa"/>
          <w:bottom w:w="0" w:type="dxa"/>
          <w:right w:w="108" w:type="dxa"/>
        </w:tblCellMar>
      </w:tblPr>
      <w:tblGrid>
        <w:gridCol w:w="1154"/>
        <w:gridCol w:w="1269"/>
        <w:gridCol w:w="1295"/>
        <w:gridCol w:w="1241"/>
        <w:gridCol w:w="1227"/>
        <w:gridCol w:w="1255"/>
        <w:gridCol w:w="1568"/>
      </w:tblGrid>
      <w:tr>
        <w:tblPrEx>
          <w:tblCellMar>
            <w:top w:w="0" w:type="dxa"/>
            <w:left w:w="108" w:type="dxa"/>
            <w:bottom w:w="0" w:type="dxa"/>
            <w:right w:w="108" w:type="dxa"/>
          </w:tblCellMar>
        </w:tblPrEx>
        <w:trPr>
          <w:trHeight w:val="285" w:hRule="atLeast"/>
          <w:jc w:val="center"/>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栋号</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层数</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单人间</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双人间</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大套间</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小套间</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r>
      <w:tr>
        <w:tblPrEx>
          <w:shd w:val="clear" w:color="auto" w:fill="auto"/>
          <w:tblCellMar>
            <w:top w:w="0" w:type="dxa"/>
            <w:left w:w="108" w:type="dxa"/>
            <w:bottom w:w="0" w:type="dxa"/>
            <w:right w:w="108" w:type="dxa"/>
          </w:tblCellMar>
        </w:tblPrEx>
        <w:trPr>
          <w:trHeight w:val="174" w:hRule="atLeast"/>
          <w:jc w:val="center"/>
        </w:trPr>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tblPrEx>
          <w:shd w:val="clear" w:color="auto" w:fill="auto"/>
          <w:tblCellMar>
            <w:top w:w="0" w:type="dxa"/>
            <w:left w:w="108" w:type="dxa"/>
            <w:bottom w:w="0" w:type="dxa"/>
            <w:right w:w="108" w:type="dxa"/>
          </w:tblCellMar>
        </w:tblPrEx>
        <w:trPr>
          <w:trHeight w:val="285" w:hRule="atLeas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tblPrEx>
          <w:shd w:val="clear" w:color="auto" w:fill="auto"/>
          <w:tblCellMar>
            <w:top w:w="0" w:type="dxa"/>
            <w:left w:w="108" w:type="dxa"/>
            <w:bottom w:w="0" w:type="dxa"/>
            <w:right w:w="108" w:type="dxa"/>
          </w:tblCellMar>
        </w:tblPrEx>
        <w:trPr>
          <w:trHeight w:val="285" w:hRule="atLeas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tblPrEx>
          <w:shd w:val="clear" w:color="auto" w:fill="auto"/>
          <w:tblCellMar>
            <w:top w:w="0" w:type="dxa"/>
            <w:left w:w="108" w:type="dxa"/>
            <w:bottom w:w="0" w:type="dxa"/>
            <w:right w:w="108" w:type="dxa"/>
          </w:tblCellMar>
        </w:tblPrEx>
        <w:trPr>
          <w:trHeight w:val="285" w:hRule="atLeas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tblPrEx>
          <w:shd w:val="clear" w:color="auto" w:fill="auto"/>
          <w:tblCellMar>
            <w:top w:w="0" w:type="dxa"/>
            <w:left w:w="108" w:type="dxa"/>
            <w:bottom w:w="0" w:type="dxa"/>
            <w:right w:w="108" w:type="dxa"/>
          </w:tblCellMar>
        </w:tblPrEx>
        <w:trPr>
          <w:trHeight w:val="285" w:hRule="atLeas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tblPrEx>
          <w:tblCellMar>
            <w:top w:w="0" w:type="dxa"/>
            <w:left w:w="108" w:type="dxa"/>
            <w:bottom w:w="0" w:type="dxa"/>
            <w:right w:w="108" w:type="dxa"/>
          </w:tblCellMar>
        </w:tblPrEx>
        <w:trPr>
          <w:trHeight w:val="285" w:hRule="atLeas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tblPrEx>
          <w:shd w:val="clear" w:color="auto" w:fill="auto"/>
          <w:tblCellMar>
            <w:top w:w="0" w:type="dxa"/>
            <w:left w:w="108" w:type="dxa"/>
            <w:bottom w:w="0" w:type="dxa"/>
            <w:right w:w="108" w:type="dxa"/>
          </w:tblCellMar>
        </w:tblPrEx>
        <w:trPr>
          <w:trHeight w:val="285" w:hRule="atLeas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shd w:val="clear" w:color="auto" w:fill="auto"/>
          <w:tblCellMar>
            <w:top w:w="0" w:type="dxa"/>
            <w:left w:w="108" w:type="dxa"/>
            <w:bottom w:w="0" w:type="dxa"/>
            <w:right w:w="108" w:type="dxa"/>
          </w:tblCellMar>
        </w:tblPrEx>
        <w:trPr>
          <w:trHeight w:val="285" w:hRule="atLeas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shd w:val="clear" w:color="auto" w:fill="auto"/>
          <w:tblCellMar>
            <w:top w:w="0" w:type="dxa"/>
            <w:left w:w="108" w:type="dxa"/>
            <w:bottom w:w="0" w:type="dxa"/>
            <w:right w:w="108" w:type="dxa"/>
          </w:tblCellMar>
        </w:tblPrEx>
        <w:trPr>
          <w:trHeight w:val="285" w:hRule="atLeas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shd w:val="clear" w:color="auto" w:fill="auto"/>
          <w:tblCellMar>
            <w:top w:w="0" w:type="dxa"/>
            <w:left w:w="108" w:type="dxa"/>
            <w:bottom w:w="0" w:type="dxa"/>
            <w:right w:w="108" w:type="dxa"/>
          </w:tblCellMar>
        </w:tblPrEx>
        <w:trPr>
          <w:trHeight w:val="285" w:hRule="atLeas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CellMar>
            <w:top w:w="0" w:type="dxa"/>
            <w:left w:w="108" w:type="dxa"/>
            <w:bottom w:w="0" w:type="dxa"/>
            <w:right w:w="108" w:type="dxa"/>
          </w:tblCellMar>
        </w:tblPrEx>
        <w:trPr>
          <w:trHeight w:val="285" w:hRule="atLeas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shd w:val="clear" w:color="auto" w:fill="auto"/>
          <w:tblCellMar>
            <w:top w:w="0" w:type="dxa"/>
            <w:left w:w="108" w:type="dxa"/>
            <w:bottom w:w="0" w:type="dxa"/>
            <w:right w:w="108" w:type="dxa"/>
          </w:tblCellMar>
        </w:tblPrEx>
        <w:trPr>
          <w:trHeight w:val="285" w:hRule="atLeas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shd w:val="clear" w:color="auto" w:fill="auto"/>
          <w:tblCellMar>
            <w:top w:w="0" w:type="dxa"/>
            <w:left w:w="108" w:type="dxa"/>
            <w:bottom w:w="0" w:type="dxa"/>
            <w:right w:w="108" w:type="dxa"/>
          </w:tblCellMar>
        </w:tblPrEx>
        <w:trPr>
          <w:trHeight w:val="285" w:hRule="atLeas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shd w:val="clear" w:color="auto" w:fill="auto"/>
          <w:tblCellMar>
            <w:top w:w="0" w:type="dxa"/>
            <w:left w:w="108" w:type="dxa"/>
            <w:bottom w:w="0" w:type="dxa"/>
            <w:right w:w="108" w:type="dxa"/>
          </w:tblCellMar>
        </w:tblPrEx>
        <w:trPr>
          <w:trHeight w:val="285" w:hRule="atLeas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CellMar>
            <w:top w:w="0" w:type="dxa"/>
            <w:left w:w="108" w:type="dxa"/>
            <w:bottom w:w="0" w:type="dxa"/>
            <w:right w:w="108" w:type="dxa"/>
          </w:tblCellMar>
        </w:tblPrEx>
        <w:trPr>
          <w:trHeight w:val="285" w:hRule="atLeas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宋体" w:hAnsi="宋体" w:eastAsia="宋体" w:cs="宋体"/>
                <w:i w:val="0"/>
                <w:iCs w:val="0"/>
                <w:color w:val="000000"/>
                <w:sz w:val="24"/>
                <w:szCs w:val="24"/>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r>
      <w:tr>
        <w:tblPrEx>
          <w:tblCellMar>
            <w:top w:w="0" w:type="dxa"/>
            <w:left w:w="108" w:type="dxa"/>
            <w:bottom w:w="0" w:type="dxa"/>
            <w:right w:w="108" w:type="dxa"/>
          </w:tblCellMar>
        </w:tblPrEx>
        <w:trPr>
          <w:trHeight w:val="285" w:hRule="atLeast"/>
          <w:jc w:val="center"/>
        </w:trPr>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tblPrEx>
          <w:tblCellMar>
            <w:top w:w="0" w:type="dxa"/>
            <w:left w:w="108" w:type="dxa"/>
            <w:bottom w:w="0" w:type="dxa"/>
            <w:right w:w="108" w:type="dxa"/>
          </w:tblCellMar>
        </w:tblPrEx>
        <w:trPr>
          <w:trHeight w:val="285" w:hRule="atLeas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tblPrEx>
          <w:shd w:val="clear" w:color="auto" w:fill="auto"/>
          <w:tblCellMar>
            <w:top w:w="0" w:type="dxa"/>
            <w:left w:w="108" w:type="dxa"/>
            <w:bottom w:w="0" w:type="dxa"/>
            <w:right w:w="108" w:type="dxa"/>
          </w:tblCellMar>
        </w:tblPrEx>
        <w:trPr>
          <w:trHeight w:val="285" w:hRule="atLeas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tblPrEx>
          <w:shd w:val="clear" w:color="auto" w:fill="auto"/>
          <w:tblCellMar>
            <w:top w:w="0" w:type="dxa"/>
            <w:left w:w="108" w:type="dxa"/>
            <w:bottom w:w="0" w:type="dxa"/>
            <w:right w:w="108" w:type="dxa"/>
          </w:tblCellMar>
        </w:tblPrEx>
        <w:trPr>
          <w:trHeight w:val="285" w:hRule="atLeas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tblPrEx>
          <w:tblCellMar>
            <w:top w:w="0" w:type="dxa"/>
            <w:left w:w="108" w:type="dxa"/>
            <w:bottom w:w="0" w:type="dxa"/>
            <w:right w:w="108" w:type="dxa"/>
          </w:tblCellMar>
        </w:tblPrEx>
        <w:trPr>
          <w:trHeight w:val="285" w:hRule="atLeas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tblPrEx>
          <w:tblCellMar>
            <w:top w:w="0" w:type="dxa"/>
            <w:left w:w="108" w:type="dxa"/>
            <w:bottom w:w="0" w:type="dxa"/>
            <w:right w:w="108" w:type="dxa"/>
          </w:tblCellMar>
        </w:tblPrEx>
        <w:trPr>
          <w:trHeight w:val="285" w:hRule="atLeas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tblPrEx>
          <w:tblCellMar>
            <w:top w:w="0" w:type="dxa"/>
            <w:left w:w="108" w:type="dxa"/>
            <w:bottom w:w="0" w:type="dxa"/>
            <w:right w:w="108" w:type="dxa"/>
          </w:tblCellMar>
        </w:tblPrEx>
        <w:trPr>
          <w:trHeight w:val="285" w:hRule="atLeast"/>
          <w:jc w:val="center"/>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宋体" w:hAnsi="宋体" w:eastAsia="宋体" w:cs="宋体"/>
                <w:i w:val="0"/>
                <w:iCs w:val="0"/>
                <w:color w:val="000000"/>
                <w:sz w:val="24"/>
                <w:szCs w:val="24"/>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r>
      <w:tr>
        <w:tblPrEx>
          <w:tblCellMar>
            <w:top w:w="0" w:type="dxa"/>
            <w:left w:w="108" w:type="dxa"/>
            <w:bottom w:w="0" w:type="dxa"/>
            <w:right w:w="108" w:type="dxa"/>
          </w:tblCellMar>
        </w:tblPrEx>
        <w:trPr>
          <w:trHeight w:val="285" w:hRule="atLeast"/>
          <w:jc w:val="center"/>
        </w:trPr>
        <w:tc>
          <w:tcPr>
            <w:tcW w:w="1154" w:type="dxa"/>
            <w:tcBorders>
              <w:top w:val="single" w:color="000000" w:sz="4" w:space="0"/>
              <w:left w:val="single" w:color="000000" w:sz="4" w:space="0"/>
              <w:bottom w:val="single" w:color="000000" w:sz="4" w:space="0"/>
              <w:right w:val="single" w:color="000000" w:sz="4" w:space="0"/>
            </w:tcBorders>
            <w:shd w:val="clear" w:color="auto" w:fill="C6E0B4"/>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269" w:type="dxa"/>
            <w:tcBorders>
              <w:top w:val="single" w:color="000000" w:sz="4" w:space="0"/>
              <w:left w:val="single" w:color="000000" w:sz="4" w:space="0"/>
              <w:bottom w:val="single" w:color="000000" w:sz="4" w:space="0"/>
              <w:right w:val="single" w:color="000000" w:sz="4" w:space="0"/>
            </w:tcBorders>
            <w:shd w:val="clear" w:color="auto" w:fill="C6E0B4"/>
            <w:noWrap/>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宋体" w:hAnsi="宋体" w:eastAsia="宋体" w:cs="宋体"/>
                <w:i w:val="0"/>
                <w:iCs w:val="0"/>
                <w:color w:val="000000"/>
                <w:sz w:val="24"/>
                <w:szCs w:val="24"/>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C6E0B4"/>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241" w:type="dxa"/>
            <w:tcBorders>
              <w:top w:val="single" w:color="000000" w:sz="4" w:space="0"/>
              <w:left w:val="single" w:color="000000" w:sz="4" w:space="0"/>
              <w:bottom w:val="single" w:color="000000" w:sz="4" w:space="0"/>
              <w:right w:val="single" w:color="000000" w:sz="4" w:space="0"/>
            </w:tcBorders>
            <w:shd w:val="clear" w:color="auto" w:fill="C6E0B4"/>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227" w:type="dxa"/>
            <w:tcBorders>
              <w:top w:val="single" w:color="000000" w:sz="4" w:space="0"/>
              <w:left w:val="single" w:color="000000" w:sz="4" w:space="0"/>
              <w:bottom w:val="single" w:color="000000" w:sz="4" w:space="0"/>
              <w:right w:val="single" w:color="000000" w:sz="4" w:space="0"/>
            </w:tcBorders>
            <w:shd w:val="clear" w:color="auto" w:fill="C6E0B4"/>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55" w:type="dxa"/>
            <w:tcBorders>
              <w:top w:val="single" w:color="000000" w:sz="4" w:space="0"/>
              <w:left w:val="single" w:color="000000" w:sz="4" w:space="0"/>
              <w:bottom w:val="single" w:color="000000" w:sz="4" w:space="0"/>
              <w:right w:val="single" w:color="000000" w:sz="4" w:space="0"/>
            </w:tcBorders>
            <w:shd w:val="clear" w:color="auto" w:fill="C6E0B4"/>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68" w:type="dxa"/>
            <w:tcBorders>
              <w:top w:val="single" w:color="000000" w:sz="4" w:space="0"/>
              <w:left w:val="single" w:color="000000" w:sz="4" w:space="0"/>
              <w:bottom w:val="single" w:color="000000" w:sz="4" w:space="0"/>
              <w:right w:val="single" w:color="000000" w:sz="4" w:space="0"/>
            </w:tcBorders>
            <w:shd w:val="clear" w:color="auto" w:fill="C6E0B4"/>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r>
    </w:tbl>
    <w:p>
      <w:pPr>
        <w:spacing w:line="1000" w:lineRule="exact"/>
        <w:jc w:val="both"/>
        <w:rPr>
          <w:rFonts w:hint="eastAsia" w:ascii="仿宋" w:hAnsi="仿宋" w:eastAsia="仿宋"/>
          <w:b/>
          <w:color w:val="auto"/>
          <w:sz w:val="72"/>
          <w:szCs w:val="72"/>
          <w:lang w:val="en-US" w:eastAsia="zh-CN"/>
        </w:rPr>
      </w:pPr>
    </w:p>
    <w:p>
      <w:pPr>
        <w:spacing w:line="1000" w:lineRule="exact"/>
        <w:jc w:val="center"/>
        <w:rPr>
          <w:rFonts w:hint="eastAsia" w:ascii="仿宋" w:hAnsi="仿宋" w:eastAsia="仿宋"/>
          <w:b/>
          <w:color w:val="auto"/>
          <w:sz w:val="72"/>
          <w:szCs w:val="72"/>
          <w:lang w:val="en-US" w:eastAsia="zh-CN"/>
        </w:rPr>
      </w:pPr>
    </w:p>
    <w:p>
      <w:pPr>
        <w:spacing w:line="1000" w:lineRule="exact"/>
        <w:jc w:val="center"/>
        <w:rPr>
          <w:rFonts w:hint="eastAsia" w:ascii="仿宋" w:hAnsi="仿宋" w:eastAsia="仿宋"/>
          <w:b/>
          <w:color w:val="auto"/>
          <w:sz w:val="72"/>
          <w:szCs w:val="72"/>
          <w:lang w:val="en-US" w:eastAsia="zh-CN"/>
        </w:rPr>
      </w:pPr>
    </w:p>
    <w:p>
      <w:pPr>
        <w:spacing w:line="1000" w:lineRule="exact"/>
        <w:jc w:val="both"/>
        <w:rPr>
          <w:rFonts w:hint="eastAsia" w:ascii="仿宋" w:hAnsi="仿宋" w:eastAsia="仿宋"/>
          <w:b/>
          <w:color w:val="auto"/>
          <w:sz w:val="72"/>
          <w:szCs w:val="72"/>
          <w:lang w:val="en-US" w:eastAsia="zh-CN"/>
        </w:rPr>
      </w:pPr>
    </w:p>
    <w:p>
      <w:pPr>
        <w:spacing w:line="1000" w:lineRule="exact"/>
        <w:jc w:val="both"/>
        <w:rPr>
          <w:rFonts w:hint="eastAsia" w:ascii="仿宋" w:hAnsi="仿宋" w:eastAsia="仿宋"/>
          <w:b/>
          <w:color w:val="auto"/>
          <w:sz w:val="72"/>
          <w:szCs w:val="72"/>
          <w:lang w:val="en-US" w:eastAsia="zh-CN"/>
        </w:rPr>
      </w:pPr>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580" w:lineRule="exact"/>
        <w:jc w:val="both"/>
        <w:rPr>
          <w:rFonts w:hint="eastAsia" w:ascii="仿宋" w:hAnsi="仿宋" w:eastAsia="仿宋"/>
          <w:b/>
          <w:color w:val="auto"/>
          <w:sz w:val="44"/>
          <w:szCs w:val="44"/>
        </w:rPr>
      </w:pPr>
      <w:r>
        <w:rPr>
          <w:rFonts w:hint="eastAsia" w:ascii="仿宋" w:hAnsi="仿宋" w:eastAsia="仿宋"/>
          <w:b/>
          <w:color w:val="auto"/>
          <w:sz w:val="44"/>
          <w:szCs w:val="44"/>
        </w:rPr>
        <w:t>肇庆校区教师工作室</w:t>
      </w:r>
      <w:r>
        <w:rPr>
          <w:rFonts w:hint="eastAsia" w:ascii="仿宋" w:hAnsi="仿宋" w:eastAsia="仿宋"/>
          <w:b/>
          <w:color w:val="auto"/>
          <w:sz w:val="44"/>
          <w:szCs w:val="44"/>
          <w:lang w:eastAsia="zh-CN"/>
        </w:rPr>
        <w:t>窗帘、浴帘</w:t>
      </w:r>
      <w:r>
        <w:rPr>
          <w:rFonts w:hint="eastAsia" w:ascii="仿宋" w:hAnsi="仿宋" w:eastAsia="仿宋"/>
          <w:b/>
          <w:color w:val="auto"/>
          <w:sz w:val="44"/>
          <w:szCs w:val="44"/>
        </w:rPr>
        <w:t>采购及安装项目</w:t>
      </w:r>
    </w:p>
    <w:p>
      <w:pPr>
        <w:spacing w:line="580" w:lineRule="exact"/>
        <w:jc w:val="center"/>
        <w:rPr>
          <w:rFonts w:hint="eastAsia" w:ascii="仿宋" w:hAnsi="仿宋" w:eastAsia="仿宋"/>
          <w:b/>
          <w:color w:val="auto"/>
          <w:sz w:val="52"/>
          <w:szCs w:val="52"/>
        </w:rPr>
      </w:pPr>
    </w:p>
    <w:p>
      <w:pPr>
        <w:spacing w:line="580" w:lineRule="exact"/>
        <w:jc w:val="center"/>
        <w:rPr>
          <w:rFonts w:hint="eastAsia" w:ascii="仿宋" w:hAnsi="仿宋" w:eastAsia="仿宋"/>
          <w:b/>
          <w:color w:val="auto"/>
          <w:sz w:val="52"/>
          <w:szCs w:val="52"/>
        </w:rPr>
      </w:pP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报</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价</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响</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应</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文</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件</w:t>
      </w:r>
    </w:p>
    <w:p>
      <w:pPr>
        <w:spacing w:line="580" w:lineRule="exact"/>
        <w:jc w:val="center"/>
        <w:rPr>
          <w:rFonts w:ascii="仿宋" w:hAnsi="仿宋" w:eastAsia="仿宋"/>
          <w:b/>
          <w:color w:val="auto"/>
          <w:sz w:val="72"/>
          <w:szCs w:val="72"/>
        </w:rPr>
      </w:pP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参与人名称（公司全称）：</w:t>
      </w:r>
      <w:r>
        <w:rPr>
          <w:rFonts w:ascii="仿宋" w:hAnsi="仿宋" w:eastAsia="仿宋"/>
          <w:b/>
          <w:color w:val="auto"/>
          <w:sz w:val="36"/>
          <w:szCs w:val="36"/>
        </w:rPr>
        <w:t>XXXX</w:t>
      </w: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参与人授权代表：X</w:t>
      </w:r>
      <w:r>
        <w:rPr>
          <w:rFonts w:ascii="仿宋" w:hAnsi="仿宋" w:eastAsia="仿宋"/>
          <w:b/>
          <w:color w:val="auto"/>
          <w:sz w:val="36"/>
          <w:szCs w:val="36"/>
        </w:rPr>
        <w:t>XXX</w:t>
      </w:r>
    </w:p>
    <w:p>
      <w:pPr>
        <w:jc w:val="center"/>
        <w:rPr>
          <w:rFonts w:ascii="仿宋" w:hAnsi="仿宋" w:eastAsia="仿宋"/>
          <w:b/>
          <w:color w:val="auto"/>
          <w:sz w:val="36"/>
          <w:szCs w:val="36"/>
        </w:rPr>
      </w:pPr>
    </w:p>
    <w:p>
      <w:pPr>
        <w:jc w:val="center"/>
        <w:rPr>
          <w:rFonts w:ascii="仿宋" w:hAnsi="仿宋" w:eastAsia="仿宋"/>
          <w:b/>
          <w:bCs/>
          <w:color w:val="auto"/>
          <w:sz w:val="30"/>
          <w:szCs w:val="30"/>
        </w:rPr>
      </w:pPr>
    </w:p>
    <w:p>
      <w:pPr>
        <w:jc w:val="center"/>
        <w:rPr>
          <w:rFonts w:ascii="仿宋" w:hAnsi="仿宋" w:eastAsia="仿宋"/>
          <w:b/>
          <w:bCs/>
          <w:color w:val="auto"/>
          <w:sz w:val="30"/>
          <w:szCs w:val="30"/>
        </w:rPr>
      </w:pPr>
    </w:p>
    <w:p>
      <w:pPr>
        <w:jc w:val="center"/>
        <w:rPr>
          <w:rFonts w:ascii="仿宋" w:hAnsi="仿宋" w:eastAsia="仿宋"/>
          <w:b/>
          <w:bCs/>
          <w:color w:val="auto"/>
          <w:sz w:val="30"/>
          <w:szCs w:val="30"/>
        </w:rPr>
      </w:pPr>
      <w:r>
        <w:rPr>
          <w:rFonts w:hint="eastAsia" w:ascii="仿宋" w:hAnsi="仿宋" w:eastAsia="仿宋"/>
          <w:b/>
          <w:bCs/>
          <w:color w:val="auto"/>
          <w:sz w:val="30"/>
          <w:szCs w:val="30"/>
        </w:rPr>
        <w:t>此封面应作为报价响应文件封面</w:t>
      </w:r>
    </w:p>
    <w:p>
      <w:pPr>
        <w:rPr>
          <w:rFonts w:ascii="仿宋" w:hAnsi="仿宋" w:eastAsia="仿宋"/>
          <w:b/>
          <w:bCs/>
          <w:color w:val="auto"/>
          <w:sz w:val="30"/>
          <w:szCs w:val="30"/>
        </w:rPr>
        <w:sectPr>
          <w:headerReference r:id="rId10" w:type="first"/>
          <w:headerReference r:id="rId9"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color w:val="auto"/>
          <w:sz w:val="28"/>
          <w:szCs w:val="28"/>
        </w:rPr>
      </w:pPr>
      <w:bookmarkStart w:id="50" w:name="_Toc213208766"/>
      <w:bookmarkStart w:id="51" w:name="_Toc251586231"/>
      <w:bookmarkStart w:id="52" w:name="_Toc235437991"/>
      <w:bookmarkStart w:id="53" w:name="_Toc235438344"/>
      <w:bookmarkStart w:id="54" w:name="_Toc255975007"/>
      <w:bookmarkStart w:id="55" w:name="_Toc267059806"/>
      <w:bookmarkStart w:id="56" w:name="_Toc193160448"/>
      <w:bookmarkStart w:id="57" w:name="_Toc180302913"/>
      <w:bookmarkStart w:id="58" w:name="_Toc170798793"/>
      <w:bookmarkStart w:id="59" w:name="_Toc193165734"/>
      <w:bookmarkStart w:id="60" w:name="_Toc192664153"/>
      <w:bookmarkStart w:id="61" w:name="_Toc254790899"/>
      <w:bookmarkStart w:id="62" w:name="_Toc267059181"/>
      <w:bookmarkStart w:id="63" w:name="_Toc213756051"/>
      <w:bookmarkStart w:id="64" w:name="_Toc191783222"/>
      <w:bookmarkStart w:id="65" w:name="_Toc232302115"/>
      <w:bookmarkStart w:id="66" w:name="_Toc191802690"/>
      <w:bookmarkStart w:id="67" w:name="_Toc217891402"/>
      <w:bookmarkStart w:id="68" w:name="_Toc259692647"/>
      <w:bookmarkStart w:id="69" w:name="_Toc266868670"/>
      <w:bookmarkStart w:id="70" w:name="_Toc273178698"/>
      <w:bookmarkStart w:id="71" w:name="_Toc177985469"/>
      <w:bookmarkStart w:id="72" w:name="_Toc192663686"/>
      <w:bookmarkStart w:id="73" w:name="_Toc230071147"/>
      <w:bookmarkStart w:id="74" w:name="_Toc182372782"/>
      <w:bookmarkStart w:id="75" w:name="_Toc227058530"/>
      <w:bookmarkStart w:id="76" w:name="_Toc267060453"/>
      <w:bookmarkStart w:id="77" w:name="_Toc192996338"/>
      <w:bookmarkStart w:id="78" w:name="_Toc266870907"/>
      <w:bookmarkStart w:id="79" w:name="_Toc182805217"/>
      <w:bookmarkStart w:id="80" w:name="_Toc181436565"/>
      <w:bookmarkStart w:id="81" w:name="_Toc267059030"/>
      <w:bookmarkStart w:id="82" w:name="_Toc267060068"/>
      <w:bookmarkStart w:id="83" w:name="_Toc258401256"/>
      <w:bookmarkStart w:id="84" w:name="_Toc213755995"/>
      <w:bookmarkStart w:id="85" w:name="_Toc211917116"/>
      <w:bookmarkStart w:id="86" w:name="_Toc169332949"/>
      <w:bookmarkStart w:id="87" w:name="_Toc267059653"/>
      <w:bookmarkStart w:id="88" w:name="_Toc259692740"/>
      <w:bookmarkStart w:id="89" w:name="_Toc213755939"/>
      <w:bookmarkStart w:id="90" w:name="_Toc203355733"/>
      <w:bookmarkStart w:id="91" w:name="_Toc249325711"/>
      <w:bookmarkStart w:id="92" w:name="_Toc266870833"/>
      <w:bookmarkStart w:id="93" w:name="_Toc192996446"/>
      <w:bookmarkStart w:id="94" w:name="_Toc191803626"/>
      <w:bookmarkStart w:id="95" w:name="_Toc266868937"/>
      <w:bookmarkStart w:id="96" w:name="_Toc191789329"/>
      <w:bookmarkStart w:id="97" w:name="_Toc225669322"/>
      <w:bookmarkStart w:id="98" w:name="_Toc267060321"/>
      <w:bookmarkStart w:id="99" w:name="_Toc169332838"/>
      <w:bookmarkStart w:id="100" w:name="_Toc192663835"/>
      <w:bookmarkStart w:id="101" w:name="_Toc181436461"/>
      <w:bookmarkStart w:id="102" w:name="_Toc267060208"/>
      <w:bookmarkStart w:id="103" w:name="_Toc219800243"/>
      <w:bookmarkStart w:id="104" w:name="_Toc160880160"/>
      <w:bookmarkStart w:id="105" w:name="_Toc213755858"/>
      <w:bookmarkStart w:id="106" w:name="_Toc251613829"/>
      <w:bookmarkStart w:id="107" w:name="_Toc253066614"/>
      <w:bookmarkStart w:id="108" w:name="_Toc236021449"/>
      <w:bookmarkStart w:id="109" w:name="_Toc267059539"/>
      <w:bookmarkStart w:id="110" w:name="_Toc160880529"/>
      <w:bookmarkStart w:id="111" w:name="_Toc259520865"/>
      <w:bookmarkStart w:id="112" w:name="_Toc235438274"/>
      <w:bookmarkStart w:id="113" w:name="_Toc223146608"/>
      <w:bookmarkStart w:id="114" w:name="_Toc267059919"/>
      <w:bookmarkStart w:id="115" w:name="_Toc266870432"/>
    </w:p>
    <w:p>
      <w:pPr>
        <w:jc w:val="center"/>
        <w:outlineLvl w:val="1"/>
        <w:rPr>
          <w:rFonts w:ascii="仿宋" w:hAnsi="仿宋" w:eastAsia="仿宋"/>
          <w:b/>
          <w:bCs/>
          <w:color w:val="auto"/>
          <w:sz w:val="28"/>
          <w:szCs w:val="28"/>
        </w:rPr>
      </w:pPr>
      <w:r>
        <w:rPr>
          <w:rFonts w:hint="eastAsia" w:ascii="仿宋" w:hAnsi="仿宋" w:eastAsia="仿宋"/>
          <w:b/>
          <w:bCs/>
          <w:color w:val="auto"/>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color w:val="auto"/>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据此函，签字代表宣布同意如下：</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1.所附详细报价表中规定的应提供和交付的货物及服务报价总价（国内现场交货价）为人民币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，即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（中文表述）。</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4.参与人将按公开询价文件的规定履行合同责任和义务。</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6</w:t>
      </w:r>
      <w:r>
        <w:rPr>
          <w:rFonts w:hint="eastAsia" w:ascii="仿宋" w:hAnsi="仿宋" w:eastAsia="仿宋"/>
          <w:color w:val="auto"/>
          <w:sz w:val="28"/>
          <w:szCs w:val="28"/>
        </w:rPr>
        <w:t>.与本此公开询价有关的一切正式往来通讯请寄：</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地址：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邮编：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电话：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传真：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参与人授权代表签字：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参与人（公司全称并加盖公章）：</w:t>
      </w:r>
      <w:r>
        <w:rPr>
          <w:rFonts w:hint="eastAsia" w:ascii="仿宋" w:hAnsi="仿宋" w:eastAsia="仿宋"/>
          <w:color w:val="auto"/>
          <w:sz w:val="28"/>
          <w:szCs w:val="28"/>
          <w:u w:val="single"/>
        </w:rPr>
        <w:t xml:space="preserve">                       </w:t>
      </w:r>
    </w:p>
    <w:p>
      <w:pPr>
        <w:pStyle w:val="57"/>
        <w:spacing w:line="480" w:lineRule="exact"/>
        <w:jc w:val="left"/>
        <w:outlineLvl w:val="9"/>
        <w:rPr>
          <w:rFonts w:ascii="仿宋" w:hAnsi="仿宋" w:eastAsia="仿宋"/>
          <w:color w:val="auto"/>
          <w:szCs w:val="28"/>
        </w:rPr>
      </w:pPr>
      <w:r>
        <w:rPr>
          <w:rFonts w:hint="eastAsia" w:ascii="仿宋" w:hAnsi="仿宋" w:eastAsia="仿宋"/>
          <w:color w:val="auto"/>
          <w:szCs w:val="28"/>
        </w:rPr>
        <w:t xml:space="preserve">      日  期： </w:t>
      </w:r>
      <w:r>
        <w:rPr>
          <w:rFonts w:hint="eastAsia" w:ascii="仿宋" w:hAnsi="仿宋" w:eastAsia="仿宋"/>
          <w:color w:val="auto"/>
          <w:szCs w:val="28"/>
          <w:u w:val="single"/>
        </w:rPr>
        <w:t xml:space="preserve">    </w:t>
      </w:r>
      <w:r>
        <w:rPr>
          <w:rFonts w:hint="eastAsia" w:ascii="仿宋" w:hAnsi="仿宋" w:eastAsia="仿宋"/>
          <w:color w:val="auto"/>
          <w:szCs w:val="28"/>
        </w:rPr>
        <w:t xml:space="preserve">年 </w:t>
      </w:r>
      <w:r>
        <w:rPr>
          <w:rFonts w:hint="eastAsia" w:ascii="仿宋" w:hAnsi="仿宋" w:eastAsia="仿宋"/>
          <w:color w:val="auto"/>
          <w:szCs w:val="28"/>
          <w:u w:val="single"/>
        </w:rPr>
        <w:t xml:space="preserve">   </w:t>
      </w:r>
      <w:r>
        <w:rPr>
          <w:rFonts w:hint="eastAsia" w:ascii="仿宋" w:hAnsi="仿宋" w:eastAsia="仿宋"/>
          <w:color w:val="auto"/>
          <w:szCs w:val="28"/>
        </w:rPr>
        <w:t xml:space="preserve">月 </w:t>
      </w:r>
      <w:r>
        <w:rPr>
          <w:rFonts w:hint="eastAsia" w:ascii="仿宋" w:hAnsi="仿宋" w:eastAsia="仿宋"/>
          <w:color w:val="auto"/>
          <w:szCs w:val="28"/>
          <w:u w:val="single"/>
        </w:rPr>
        <w:t xml:space="preserve">   </w:t>
      </w:r>
      <w:r>
        <w:rPr>
          <w:rFonts w:hint="eastAsia" w:ascii="仿宋" w:hAnsi="仿宋" w:eastAsia="仿宋"/>
          <w:color w:val="auto"/>
          <w:szCs w:val="28"/>
        </w:rPr>
        <w:t>日</w:t>
      </w:r>
    </w:p>
    <w:p>
      <w:pPr>
        <w:rPr>
          <w:rFonts w:hint="eastAsia" w:ascii="仿宋" w:hAnsi="仿宋" w:eastAsia="仿宋" w:cs="Times New Roman"/>
          <w:color w:val="auto"/>
          <w:kern w:val="2"/>
          <w:sz w:val="28"/>
          <w:szCs w:val="28"/>
        </w:rPr>
      </w:pPr>
      <w:r>
        <w:rPr>
          <w:rFonts w:ascii="仿宋" w:hAnsi="仿宋" w:eastAsia="仿宋"/>
          <w:color w:val="auto"/>
          <w:szCs w:val="28"/>
        </w:rPr>
        <w:br w:type="page"/>
      </w:r>
    </w:p>
    <w:p>
      <w:pPr>
        <w:jc w:val="center"/>
        <w:outlineLvl w:val="1"/>
        <w:rPr>
          <w:rFonts w:ascii="仿宋" w:hAnsi="仿宋" w:eastAsia="仿宋"/>
          <w:b/>
          <w:bCs/>
          <w:color w:val="auto"/>
          <w:sz w:val="28"/>
          <w:szCs w:val="28"/>
        </w:rPr>
      </w:pPr>
      <w:r>
        <w:rPr>
          <w:rFonts w:ascii="仿宋" w:hAnsi="仿宋" w:eastAsia="仿宋"/>
          <w:b/>
          <w:bCs/>
          <w:color w:val="auto"/>
          <w:sz w:val="28"/>
          <w:szCs w:val="28"/>
        </w:rPr>
        <w:t>2</w:t>
      </w:r>
      <w:r>
        <w:rPr>
          <w:rFonts w:hint="eastAsia" w:ascii="仿宋" w:hAnsi="仿宋" w:eastAsia="仿宋"/>
          <w:b/>
          <w:bCs/>
          <w:color w:val="auto"/>
          <w:sz w:val="28"/>
          <w:szCs w:val="28"/>
        </w:rPr>
        <w:t>、分项报价一览表</w:t>
      </w:r>
    </w:p>
    <w:p>
      <w:pPr>
        <w:spacing w:line="380" w:lineRule="exact"/>
        <w:ind w:left="147" w:leftChars="67"/>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 xml:space="preserve">                   项目编号：</w:t>
      </w:r>
    </w:p>
    <w:p>
      <w:pPr>
        <w:spacing w:line="380" w:lineRule="exact"/>
        <w:ind w:left="147" w:leftChars="67"/>
        <w:rPr>
          <w:rFonts w:hint="eastAsia" w:ascii="仿宋" w:hAnsi="仿宋" w:eastAsia="仿宋"/>
          <w:color w:val="auto"/>
          <w:sz w:val="28"/>
          <w:szCs w:val="28"/>
          <w:lang w:val="en-US" w:eastAsia="zh-CN"/>
        </w:rPr>
      </w:pPr>
      <w:r>
        <w:rPr>
          <w:rFonts w:hint="eastAsia" w:ascii="仿宋" w:hAnsi="仿宋" w:eastAsia="仿宋"/>
          <w:color w:val="auto"/>
          <w:sz w:val="28"/>
          <w:szCs w:val="28"/>
        </w:rPr>
        <w:t>货币单位：</w:t>
      </w:r>
      <w:r>
        <w:rPr>
          <w:rFonts w:hint="eastAsia" w:ascii="仿宋" w:hAnsi="仿宋" w:eastAsia="仿宋"/>
          <w:color w:val="auto"/>
          <w:sz w:val="28"/>
          <w:szCs w:val="28"/>
          <w:lang w:val="en-US" w:eastAsia="zh-CN"/>
        </w:rPr>
        <w:t>元</w:t>
      </w:r>
    </w:p>
    <w:tbl>
      <w:tblPr>
        <w:tblStyle w:val="24"/>
        <w:tblW w:w="9402" w:type="dxa"/>
        <w:tblInd w:w="-5" w:type="dxa"/>
        <w:tblLayout w:type="fixed"/>
        <w:tblCellMar>
          <w:top w:w="0" w:type="dxa"/>
          <w:left w:w="108" w:type="dxa"/>
          <w:bottom w:w="0" w:type="dxa"/>
          <w:right w:w="108" w:type="dxa"/>
        </w:tblCellMar>
      </w:tblPr>
      <w:tblGrid>
        <w:gridCol w:w="643"/>
        <w:gridCol w:w="982"/>
        <w:gridCol w:w="1901"/>
        <w:gridCol w:w="1384"/>
        <w:gridCol w:w="770"/>
        <w:gridCol w:w="657"/>
        <w:gridCol w:w="919"/>
        <w:gridCol w:w="1052"/>
        <w:gridCol w:w="1094"/>
      </w:tblGrid>
      <w:tr>
        <w:tblPrEx>
          <w:tblCellMar>
            <w:top w:w="0" w:type="dxa"/>
            <w:left w:w="108" w:type="dxa"/>
            <w:bottom w:w="0" w:type="dxa"/>
            <w:right w:w="108" w:type="dxa"/>
          </w:tblCellMar>
        </w:tblPrEx>
        <w:trPr>
          <w:trHeight w:val="492"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宋体" w:hAnsi="宋体" w:eastAsia="宋体" w:cs="宋体"/>
                <w:b/>
                <w:bCs/>
                <w:color w:val="auto"/>
                <w:sz w:val="21"/>
                <w:szCs w:val="21"/>
              </w:rPr>
              <w:t>序号</w:t>
            </w:r>
          </w:p>
        </w:tc>
        <w:tc>
          <w:tcPr>
            <w:tcW w:w="98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宋体" w:hAnsi="宋体" w:eastAsia="宋体" w:cs="宋体"/>
                <w:b/>
                <w:bCs/>
                <w:color w:val="auto"/>
                <w:sz w:val="21"/>
                <w:szCs w:val="21"/>
              </w:rPr>
              <w:t>名称</w:t>
            </w:r>
          </w:p>
        </w:tc>
        <w:tc>
          <w:tcPr>
            <w:tcW w:w="19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宋体" w:hAnsi="宋体" w:eastAsia="宋体" w:cs="宋体"/>
                <w:b/>
                <w:bCs/>
                <w:color w:val="auto"/>
                <w:sz w:val="21"/>
                <w:szCs w:val="21"/>
                <w:lang w:val="en-US" w:eastAsia="zh-CN"/>
              </w:rPr>
              <w:t>规格尺寸</w:t>
            </w:r>
          </w:p>
        </w:tc>
        <w:tc>
          <w:tcPr>
            <w:tcW w:w="13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材料参数</w:t>
            </w:r>
          </w:p>
        </w:tc>
        <w:tc>
          <w:tcPr>
            <w:tcW w:w="7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宋体" w:hAnsi="宋体" w:eastAsia="宋体" w:cs="宋体"/>
                <w:b/>
                <w:bCs/>
                <w:color w:val="auto"/>
                <w:sz w:val="21"/>
                <w:szCs w:val="21"/>
              </w:rPr>
              <w:t>单位</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宋体" w:hAnsi="宋体" w:eastAsia="宋体" w:cs="宋体"/>
                <w:b/>
                <w:bCs/>
                <w:color w:val="auto"/>
                <w:sz w:val="21"/>
                <w:szCs w:val="21"/>
              </w:rPr>
              <w:t>数量</w:t>
            </w:r>
          </w:p>
        </w:tc>
        <w:tc>
          <w:tcPr>
            <w:tcW w:w="91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宋体" w:hAnsi="宋体" w:eastAsia="宋体" w:cs="宋体"/>
                <w:b/>
                <w:bCs/>
                <w:color w:val="auto"/>
                <w:sz w:val="21"/>
                <w:szCs w:val="21"/>
              </w:rPr>
              <w:t>单价</w:t>
            </w:r>
          </w:p>
        </w:tc>
        <w:tc>
          <w:tcPr>
            <w:tcW w:w="10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宋体" w:hAnsi="宋体" w:eastAsia="宋体" w:cs="宋体"/>
                <w:b/>
                <w:bCs/>
                <w:color w:val="auto"/>
                <w:sz w:val="21"/>
                <w:szCs w:val="21"/>
                <w:lang w:val="en-US" w:eastAsia="zh-CN"/>
              </w:rPr>
              <w:t>金额</w:t>
            </w:r>
          </w:p>
        </w:tc>
        <w:tc>
          <w:tcPr>
            <w:tcW w:w="109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lang w:eastAsia="zh-CN"/>
              </w:rPr>
            </w:pPr>
            <w:r>
              <w:rPr>
                <w:rFonts w:hint="eastAsia" w:ascii="宋体" w:hAnsi="宋体" w:eastAsia="宋体" w:cs="宋体"/>
                <w:b/>
                <w:bCs/>
                <w:color w:val="auto"/>
                <w:sz w:val="21"/>
                <w:szCs w:val="21"/>
                <w:lang w:val="en-US" w:eastAsia="zh-CN"/>
              </w:rPr>
              <w:t>图片</w:t>
            </w:r>
          </w:p>
        </w:tc>
      </w:tr>
      <w:tr>
        <w:tblPrEx>
          <w:tblCellMar>
            <w:top w:w="0" w:type="dxa"/>
            <w:left w:w="108" w:type="dxa"/>
            <w:bottom w:w="0" w:type="dxa"/>
            <w:right w:w="108" w:type="dxa"/>
          </w:tblCellMar>
        </w:tblPrEx>
        <w:trPr>
          <w:trHeight w:val="292"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9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w:t>
            </w:r>
          </w:p>
        </w:tc>
        <w:tc>
          <w:tcPr>
            <w:tcW w:w="190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1384"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770"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 w:val="21"/>
                <w:szCs w:val="21"/>
                <w:lang w:val="en-US" w:eastAsia="zh-CN" w:bidi="ar-SA"/>
              </w:rPr>
            </w:pP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 w:val="21"/>
                <w:szCs w:val="21"/>
                <w:lang w:val="en-US" w:eastAsia="zh-CN" w:bidi="ar-SA"/>
              </w:rPr>
            </w:pP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539"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9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w:t>
            </w:r>
          </w:p>
        </w:tc>
        <w:tc>
          <w:tcPr>
            <w:tcW w:w="1901"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1384"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770"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 w:val="21"/>
                <w:szCs w:val="21"/>
                <w:lang w:val="en-US" w:eastAsia="zh-CN" w:bidi="ar-SA"/>
              </w:rPr>
            </w:pP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 w:val="21"/>
                <w:szCs w:val="21"/>
                <w:lang w:val="en-US" w:eastAsia="zh-CN" w:bidi="ar-SA"/>
              </w:rPr>
            </w:pP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510" w:hRule="atLeast"/>
        </w:trPr>
        <w:tc>
          <w:tcPr>
            <w:tcW w:w="9402"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default" w:ascii="仿宋" w:hAnsi="仿宋" w:eastAsia="仿宋" w:cs="仿宋"/>
                <w:color w:val="auto"/>
                <w:sz w:val="21"/>
                <w:szCs w:val="21"/>
                <w:lang w:val="en-US" w:eastAsia="zh-CN"/>
              </w:rPr>
            </w:pPr>
            <w:r>
              <w:rPr>
                <w:rFonts w:hint="eastAsia" w:ascii="宋体" w:hAnsi="宋体" w:eastAsia="宋体" w:cs="宋体"/>
                <w:b/>
                <w:bCs/>
                <w:color w:val="auto"/>
                <w:sz w:val="24"/>
                <w:szCs w:val="24"/>
                <w:lang w:val="en-US" w:eastAsia="zh-CN"/>
              </w:rPr>
              <w:t>备注：窗帘多少元/米</w:t>
            </w:r>
            <w:r>
              <w:rPr>
                <w:rFonts w:hint="eastAsia" w:ascii="宋体" w:hAnsi="宋体" w:eastAsia="宋体" w:cs="宋体"/>
                <w:b/>
                <w:bCs/>
                <w:color w:val="auto"/>
                <w:sz w:val="24"/>
                <w:szCs w:val="24"/>
                <w:lang w:val="en-US" w:eastAsia="zh-CN"/>
              </w:rPr>
              <w:t>、窗帘布</w:t>
            </w:r>
            <w:r>
              <w:rPr>
                <w:rFonts w:hint="default" w:ascii="宋体" w:hAnsi="宋体" w:eastAsia="宋体" w:cs="宋体"/>
                <w:b/>
                <w:bCs/>
                <w:color w:val="auto"/>
                <w:sz w:val="24"/>
                <w:szCs w:val="24"/>
                <w:lang w:val="en-US" w:eastAsia="zh-CN"/>
              </w:rPr>
              <w:t>的褶皱倍数</w:t>
            </w:r>
            <w:r>
              <w:rPr>
                <w:rFonts w:hint="eastAsia" w:ascii="宋体" w:hAnsi="宋体" w:eastAsia="宋体" w:cs="宋体"/>
                <w:b/>
                <w:bCs/>
                <w:color w:val="auto"/>
                <w:sz w:val="24"/>
                <w:szCs w:val="24"/>
                <w:lang w:val="en-US" w:eastAsia="zh-CN"/>
              </w:rPr>
              <w:t>、轨道含安装多少元/米、浴帘多少元/米、浴帘杆多少元/米</w:t>
            </w:r>
          </w:p>
        </w:tc>
      </w:tr>
      <w:tr>
        <w:tblPrEx>
          <w:tblCellMar>
            <w:top w:w="0" w:type="dxa"/>
            <w:left w:w="108" w:type="dxa"/>
            <w:bottom w:w="0" w:type="dxa"/>
            <w:right w:w="108" w:type="dxa"/>
          </w:tblCellMar>
        </w:tblPrEx>
        <w:trPr>
          <w:trHeight w:val="510" w:hRule="atLeast"/>
        </w:trPr>
        <w:tc>
          <w:tcPr>
            <w:tcW w:w="9402"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default" w:ascii="仿宋" w:hAnsi="仿宋" w:eastAsia="仿宋" w:cs="仿宋"/>
                <w:color w:val="auto"/>
                <w:sz w:val="21"/>
                <w:szCs w:val="21"/>
                <w:lang w:val="en-US" w:eastAsia="zh-CN"/>
              </w:rPr>
            </w:pPr>
            <w:r>
              <w:rPr>
                <w:rFonts w:hint="eastAsia" w:ascii="宋体" w:hAnsi="宋体" w:eastAsia="宋体" w:cs="宋体"/>
                <w:color w:val="auto"/>
                <w:sz w:val="24"/>
                <w:szCs w:val="24"/>
                <w:lang w:val="en-US" w:eastAsia="zh-CN"/>
              </w:rPr>
              <w:t>合计金额（含税）：</w:t>
            </w:r>
          </w:p>
        </w:tc>
      </w:tr>
    </w:tbl>
    <w:p>
      <w:pPr>
        <w:keepNext w:val="0"/>
        <w:keepLines w:val="0"/>
        <w:pageBreakBefore w:val="0"/>
        <w:widowControl/>
        <w:kinsoku/>
        <w:wordWrap/>
        <w:overflowPunct/>
        <w:topLinePunct w:val="0"/>
        <w:autoSpaceDE/>
        <w:autoSpaceDN/>
        <w:bidi w:val="0"/>
        <w:adjustRightInd/>
        <w:snapToGrid w:val="0"/>
        <w:spacing w:after="0" w:line="380" w:lineRule="exac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备注：</w:t>
      </w:r>
    </w:p>
    <w:p>
      <w:pPr>
        <w:keepNext w:val="0"/>
        <w:keepLines w:val="0"/>
        <w:pageBreakBefore w:val="0"/>
        <w:widowControl/>
        <w:kinsoku/>
        <w:wordWrap/>
        <w:overflowPunct/>
        <w:topLinePunct w:val="0"/>
        <w:autoSpaceDE/>
        <w:autoSpaceDN/>
        <w:bidi w:val="0"/>
        <w:adjustRightInd/>
        <w:snapToGrid w:val="0"/>
        <w:spacing w:after="0" w:line="380" w:lineRule="exact"/>
        <w:ind w:firstLine="562" w:firstLineChars="200"/>
        <w:textAlignment w:val="auto"/>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（一）本项目报价规格尺寸以现场测量为准。</w:t>
      </w:r>
    </w:p>
    <w:p>
      <w:pPr>
        <w:keepNext w:val="0"/>
        <w:keepLines w:val="0"/>
        <w:pageBreakBefore w:val="0"/>
        <w:widowControl/>
        <w:kinsoku/>
        <w:wordWrap/>
        <w:overflowPunct/>
        <w:topLinePunct w:val="0"/>
        <w:autoSpaceDE/>
        <w:autoSpaceDN/>
        <w:bidi w:val="0"/>
        <w:adjustRightInd/>
        <w:snapToGrid w:val="0"/>
        <w:spacing w:after="0" w:line="380" w:lineRule="exact"/>
        <w:ind w:firstLine="562" w:firstLineChars="200"/>
        <w:textAlignment w:val="auto"/>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（二）上述报价已含材料费、配件费、安装费、搬运费、卫生费、保险费、现场管理费、税金等</w:t>
      </w:r>
      <w:bookmarkStart w:id="324" w:name="_GoBack"/>
      <w:bookmarkEnd w:id="324"/>
      <w:r>
        <w:rPr>
          <w:rFonts w:hint="eastAsia" w:ascii="仿宋" w:hAnsi="仿宋" w:eastAsia="仿宋"/>
          <w:b/>
          <w:bCs/>
          <w:color w:val="auto"/>
          <w:sz w:val="28"/>
          <w:szCs w:val="28"/>
          <w:lang w:val="en-US" w:eastAsia="zh-CN"/>
        </w:rPr>
        <w:t>全部费用，提供正规增值税普通发票。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firstLine="562" w:firstLineChars="200"/>
        <w:textAlignment w:val="auto"/>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（三）报价须提供详细材料参数和产品图片，否则将视为没有实质性响应公开询价文件。</w:t>
      </w:r>
    </w:p>
    <w:p>
      <w:pPr>
        <w:keepNext w:val="0"/>
        <w:keepLines w:val="0"/>
        <w:pageBreakBefore w:val="0"/>
        <w:widowControl/>
        <w:kinsoku/>
        <w:wordWrap/>
        <w:overflowPunct/>
        <w:topLinePunct w:val="0"/>
        <w:autoSpaceDE/>
        <w:autoSpaceDN/>
        <w:bidi w:val="0"/>
        <w:adjustRightInd/>
        <w:snapToGrid w:val="0"/>
        <w:spacing w:after="0" w:line="380" w:lineRule="exact"/>
        <w:ind w:firstLine="562" w:firstLineChars="200"/>
        <w:textAlignment w:val="auto"/>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（四）</w:t>
      </w:r>
      <w:r>
        <w:rPr>
          <w:rFonts w:hint="eastAsia" w:ascii="仿宋" w:hAnsi="仿宋" w:eastAsia="仿宋"/>
          <w:b/>
          <w:bCs/>
          <w:color w:val="auto"/>
          <w:sz w:val="28"/>
          <w:szCs w:val="28"/>
          <w:lang w:val="en-US" w:eastAsia="zh-CN"/>
        </w:rPr>
        <w:t>本次项目须注明供货及安装周期、质保年限。</w:t>
      </w:r>
    </w:p>
    <w:p>
      <w:pPr>
        <w:spacing w:line="360" w:lineRule="auto"/>
        <w:ind w:right="960" w:firstLine="4200" w:firstLineChars="1500"/>
        <w:jc w:val="both"/>
        <w:rPr>
          <w:rFonts w:hint="eastAsia" w:ascii="仿宋" w:hAnsi="仿宋" w:eastAsia="仿宋"/>
          <w:color w:val="auto"/>
          <w:sz w:val="28"/>
          <w:szCs w:val="28"/>
          <w:lang w:val="zh-CN"/>
        </w:rPr>
      </w:pPr>
    </w:p>
    <w:p>
      <w:pPr>
        <w:spacing w:line="360" w:lineRule="auto"/>
        <w:ind w:right="960" w:firstLine="4200" w:firstLineChars="1500"/>
        <w:jc w:val="both"/>
        <w:rPr>
          <w:rFonts w:ascii="仿宋" w:hAnsi="仿宋" w:eastAsia="仿宋"/>
          <w:color w:val="auto"/>
          <w:sz w:val="28"/>
          <w:szCs w:val="28"/>
          <w:lang w:val="zh-CN"/>
        </w:rPr>
      </w:pPr>
      <w:r>
        <w:rPr>
          <w:rFonts w:hint="eastAsia" w:ascii="仿宋" w:hAnsi="仿宋" w:eastAsia="仿宋"/>
          <w:color w:val="auto"/>
          <w:sz w:val="28"/>
          <w:szCs w:val="28"/>
          <w:lang w:val="zh-CN"/>
        </w:rPr>
        <w:t>参与人授权代表</w:t>
      </w:r>
      <w:r>
        <w:rPr>
          <w:rFonts w:ascii="仿宋" w:hAnsi="仿宋" w:eastAsia="仿宋"/>
          <w:color w:val="auto"/>
          <w:sz w:val="28"/>
          <w:szCs w:val="28"/>
          <w:lang w:val="zh-CN"/>
        </w:rPr>
        <w:t>（签字</w:t>
      </w:r>
      <w:r>
        <w:rPr>
          <w:rFonts w:hint="eastAsia" w:ascii="仿宋" w:hAnsi="仿宋" w:eastAsia="仿宋"/>
          <w:color w:val="auto"/>
          <w:sz w:val="28"/>
          <w:szCs w:val="28"/>
          <w:lang w:val="zh-CN"/>
        </w:rPr>
        <w:t>或盖章</w:t>
      </w:r>
      <w:r>
        <w:rPr>
          <w:rFonts w:ascii="仿宋" w:hAnsi="仿宋" w:eastAsia="仿宋"/>
          <w:color w:val="auto"/>
          <w:sz w:val="28"/>
          <w:szCs w:val="28"/>
          <w:lang w:val="zh-CN"/>
        </w:rPr>
        <w:t>）：</w:t>
      </w:r>
    </w:p>
    <w:p>
      <w:pPr>
        <w:spacing w:line="380" w:lineRule="exact"/>
        <w:ind w:right="1120" w:firstLine="4200" w:firstLineChars="1500"/>
        <w:outlineLvl w:val="2"/>
        <w:rPr>
          <w:rFonts w:ascii="仿宋" w:hAnsi="仿宋" w:eastAsia="仿宋"/>
          <w:color w:val="auto"/>
          <w:sz w:val="28"/>
          <w:szCs w:val="28"/>
          <w:lang w:val="zh-CN"/>
        </w:rPr>
      </w:pPr>
      <w:r>
        <w:rPr>
          <w:rFonts w:hint="eastAsia" w:ascii="仿宋" w:hAnsi="仿宋" w:eastAsia="仿宋"/>
          <w:color w:val="auto"/>
          <w:sz w:val="28"/>
          <w:szCs w:val="28"/>
          <w:lang w:val="zh-CN"/>
        </w:rPr>
        <w:t xml:space="preserve">日 </w:t>
      </w:r>
      <w:r>
        <w:rPr>
          <w:rFonts w:ascii="仿宋" w:hAnsi="仿宋" w:eastAsia="仿宋"/>
          <w:color w:val="auto"/>
          <w:sz w:val="28"/>
          <w:szCs w:val="28"/>
          <w:lang w:val="zh-CN"/>
        </w:rPr>
        <w:t xml:space="preserve">        </w:t>
      </w:r>
      <w:r>
        <w:rPr>
          <w:rFonts w:hint="eastAsia" w:ascii="仿宋" w:hAnsi="仿宋" w:eastAsia="仿宋"/>
          <w:color w:val="auto"/>
          <w:sz w:val="28"/>
          <w:szCs w:val="28"/>
          <w:lang w:val="zh-CN"/>
        </w:rPr>
        <w:t>期：</w:t>
      </w:r>
      <w:bookmarkStart w:id="116" w:name="_Toc181436466"/>
      <w:bookmarkStart w:id="117" w:name="_Toc266868943"/>
      <w:bookmarkStart w:id="118" w:name="_Toc219800249"/>
      <w:bookmarkStart w:id="119" w:name="_Toc259692749"/>
      <w:bookmarkStart w:id="120" w:name="_Toc160880165"/>
      <w:bookmarkStart w:id="121" w:name="_Toc236021457"/>
      <w:bookmarkStart w:id="122" w:name="_Toc213756001"/>
      <w:bookmarkStart w:id="123" w:name="_Toc267059924"/>
      <w:bookmarkStart w:id="124" w:name="_Toc213756057"/>
      <w:bookmarkStart w:id="125" w:name="_Toc170798798"/>
      <w:bookmarkStart w:id="126" w:name="_Toc182805222"/>
      <w:bookmarkStart w:id="127" w:name="_Toc191783227"/>
      <w:bookmarkStart w:id="128" w:name="_Toc192663840"/>
      <w:bookmarkStart w:id="129" w:name="_Toc213208771"/>
      <w:bookmarkStart w:id="130" w:name="_Toc169332954"/>
      <w:bookmarkStart w:id="131" w:name="_Toc259692656"/>
      <w:bookmarkStart w:id="132" w:name="_Toc217891408"/>
      <w:bookmarkStart w:id="133" w:name="_Toc211917121"/>
      <w:bookmarkStart w:id="134" w:name="_Toc267060326"/>
      <w:bookmarkStart w:id="135" w:name="_Toc182372787"/>
      <w:bookmarkStart w:id="136" w:name="_Toc223146614"/>
      <w:bookmarkStart w:id="137" w:name="_Toc181436570"/>
      <w:bookmarkStart w:id="138" w:name="_Toc266868679"/>
      <w:bookmarkStart w:id="139" w:name="_Toc192664158"/>
      <w:bookmarkStart w:id="140" w:name="_Toc192996343"/>
      <w:bookmarkStart w:id="141" w:name="_Toc160880534"/>
      <w:bookmarkStart w:id="142" w:name="_Toc258401265"/>
      <w:bookmarkStart w:id="143" w:name="_Toc235438352"/>
      <w:bookmarkStart w:id="144" w:name="_Toc193165739"/>
      <w:bookmarkStart w:id="145" w:name="_Toc191789334"/>
      <w:bookmarkStart w:id="146" w:name="_Toc169332843"/>
      <w:bookmarkStart w:id="147" w:name="_Toc192663691"/>
      <w:bookmarkStart w:id="148" w:name="_Toc266870916"/>
      <w:bookmarkStart w:id="149" w:name="_Toc191803631"/>
      <w:bookmarkStart w:id="150" w:name="_Toc177985474"/>
      <w:bookmarkStart w:id="151" w:name="_Toc235438281"/>
      <w:bookmarkStart w:id="152" w:name="_Toc266870441"/>
      <w:bookmarkStart w:id="153" w:name="_Toc267059186"/>
      <w:bookmarkStart w:id="154" w:name="_Toc253066624"/>
      <w:bookmarkStart w:id="155" w:name="_Toc191802695"/>
      <w:bookmarkStart w:id="156" w:name="_Toc230071153"/>
      <w:bookmarkStart w:id="157" w:name="_Toc254790909"/>
      <w:bookmarkStart w:id="158" w:name="_Toc180302918"/>
      <w:bookmarkStart w:id="159" w:name="_Toc267059544"/>
      <w:bookmarkStart w:id="160" w:name="_Toc227058536"/>
      <w:bookmarkStart w:id="161" w:name="_Toc255975016"/>
      <w:bookmarkStart w:id="162" w:name="_Toc225669328"/>
      <w:bookmarkStart w:id="163" w:name="_Toc273178703"/>
      <w:bookmarkStart w:id="164" w:name="_Toc203355738"/>
      <w:bookmarkStart w:id="165" w:name="_Toc235437998"/>
      <w:bookmarkStart w:id="166" w:name="_Toc266870839"/>
      <w:bookmarkStart w:id="167" w:name="_Toc267060216"/>
      <w:bookmarkStart w:id="168" w:name="_Toc213755945"/>
      <w:bookmarkStart w:id="169" w:name="_Toc267060461"/>
      <w:bookmarkStart w:id="170" w:name="_Toc267059658"/>
      <w:bookmarkStart w:id="171" w:name="_Toc267060076"/>
      <w:bookmarkStart w:id="172" w:name="_Toc249325720"/>
      <w:bookmarkStart w:id="173" w:name="_Toc232302122"/>
      <w:bookmarkStart w:id="174" w:name="_Toc193160453"/>
      <w:bookmarkStart w:id="175" w:name="_Toc267059035"/>
      <w:bookmarkStart w:id="176" w:name="_Toc259520874"/>
      <w:bookmarkStart w:id="177" w:name="_Toc251613839"/>
      <w:bookmarkStart w:id="178" w:name="_Toc267059811"/>
      <w:bookmarkStart w:id="179" w:name="_Toc192996451"/>
      <w:bookmarkStart w:id="180" w:name="_Toc213755864"/>
      <w:bookmarkStart w:id="181" w:name="_Toc251586241"/>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outlineLvl w:val="2"/>
        <w:rPr>
          <w:rFonts w:ascii="仿宋" w:hAnsi="仿宋" w:eastAsia="仿宋"/>
          <w:bCs/>
          <w:color w:val="auto"/>
          <w:sz w:val="28"/>
          <w:szCs w:val="28"/>
          <w:u w:val="single"/>
        </w:rPr>
      </w:pPr>
    </w:p>
    <w:p>
      <w:pPr>
        <w:jc w:val="center"/>
        <w:outlineLvl w:val="1"/>
        <w:rPr>
          <w:rFonts w:ascii="仿宋" w:hAnsi="仿宋" w:eastAsia="仿宋"/>
          <w:b/>
          <w:color w:val="auto"/>
          <w:sz w:val="28"/>
          <w:szCs w:val="28"/>
        </w:rPr>
      </w:pPr>
      <w:r>
        <w:rPr>
          <w:rFonts w:ascii="仿宋" w:hAnsi="仿宋" w:eastAsia="仿宋"/>
          <w:b/>
          <w:bCs/>
          <w:color w:val="auto"/>
          <w:sz w:val="28"/>
          <w:szCs w:val="28"/>
        </w:rPr>
        <w:t>3</w:t>
      </w:r>
      <w:r>
        <w:rPr>
          <w:rFonts w:hint="eastAsia" w:ascii="仿宋" w:hAnsi="仿宋" w:eastAsia="仿宋"/>
          <w:b/>
          <w:bCs/>
          <w:color w:val="auto"/>
          <w:sz w:val="28"/>
          <w:szCs w:val="28"/>
        </w:rPr>
        <w:t>、参与人的资格证明文件</w:t>
      </w:r>
    </w:p>
    <w:p>
      <w:pPr>
        <w:pStyle w:val="57"/>
        <w:rPr>
          <w:rFonts w:ascii="仿宋" w:hAnsi="仿宋" w:eastAsia="仿宋"/>
          <w:color w:val="auto"/>
          <w:szCs w:val="28"/>
        </w:rPr>
      </w:pPr>
    </w:p>
    <w:p>
      <w:pPr>
        <w:spacing w:line="380" w:lineRule="exact"/>
        <w:jc w:val="center"/>
        <w:outlineLvl w:val="2"/>
        <w:rPr>
          <w:rFonts w:ascii="仿宋" w:hAnsi="仿宋" w:eastAsia="仿宋"/>
          <w:b/>
          <w:color w:val="auto"/>
          <w:sz w:val="28"/>
          <w:szCs w:val="28"/>
        </w:rPr>
      </w:pPr>
      <w:bookmarkStart w:id="182" w:name="_Toc254790910"/>
      <w:bookmarkStart w:id="183" w:name="_Toc219800250"/>
      <w:bookmarkStart w:id="184" w:name="_Toc267060462"/>
      <w:bookmarkStart w:id="185" w:name="_Toc213756058"/>
      <w:bookmarkStart w:id="186" w:name="_Toc267060217"/>
      <w:bookmarkStart w:id="187" w:name="_Toc259520875"/>
      <w:bookmarkStart w:id="188" w:name="_Toc251613840"/>
      <w:bookmarkStart w:id="189" w:name="_Toc266868680"/>
      <w:bookmarkStart w:id="190" w:name="_Toc230071154"/>
      <w:bookmarkStart w:id="191" w:name="_Toc267060077"/>
      <w:bookmarkStart w:id="192" w:name="_Toc217891409"/>
      <w:bookmarkStart w:id="193" w:name="_Toc235438353"/>
      <w:bookmarkStart w:id="194" w:name="_Toc232302123"/>
      <w:bookmarkStart w:id="195" w:name="_Toc266870917"/>
      <w:bookmarkStart w:id="196" w:name="_Toc225669329"/>
      <w:bookmarkStart w:id="197" w:name="_Toc236021458"/>
      <w:bookmarkStart w:id="198" w:name="_Toc235437999"/>
      <w:bookmarkStart w:id="199" w:name="_Toc266870442"/>
      <w:bookmarkStart w:id="200" w:name="_Toc253066625"/>
      <w:bookmarkStart w:id="201" w:name="_Toc259692657"/>
      <w:bookmarkStart w:id="202" w:name="_Toc258401266"/>
      <w:bookmarkStart w:id="203" w:name="_Toc251586242"/>
      <w:bookmarkStart w:id="204" w:name="_Toc255975017"/>
      <w:bookmarkStart w:id="205" w:name="_Toc249325721"/>
      <w:bookmarkStart w:id="206" w:name="_Toc227058537"/>
      <w:bookmarkStart w:id="207" w:name="_Toc235438282"/>
      <w:bookmarkStart w:id="208" w:name="_Toc259692750"/>
      <w:bookmarkStart w:id="209" w:name="_Toc223146615"/>
      <w:r>
        <w:rPr>
          <w:rFonts w:ascii="仿宋" w:hAnsi="仿宋" w:eastAsia="仿宋"/>
          <w:b/>
          <w:color w:val="auto"/>
          <w:sz w:val="28"/>
          <w:szCs w:val="28"/>
        </w:rPr>
        <w:t>3</w:t>
      </w:r>
      <w:r>
        <w:rPr>
          <w:rFonts w:hint="eastAsia" w:ascii="仿宋" w:hAnsi="仿宋" w:eastAsia="仿宋"/>
          <w:b/>
          <w:color w:val="auto"/>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color w:val="auto"/>
          <w:sz w:val="28"/>
          <w:szCs w:val="28"/>
        </w:rPr>
        <w:cr/>
      </w:r>
    </w:p>
    <w:p>
      <w:pPr>
        <w:spacing w:after="0" w:line="500" w:lineRule="exact"/>
        <w:rPr>
          <w:rFonts w:ascii="仿宋" w:hAnsi="仿宋" w:eastAsia="仿宋"/>
          <w:color w:val="auto"/>
          <w:sz w:val="28"/>
          <w:szCs w:val="28"/>
        </w:rPr>
      </w:pPr>
      <w:bookmarkStart w:id="210"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0"/>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地   </w:t>
      </w:r>
      <w:r>
        <w:rPr>
          <w:rFonts w:ascii="仿宋" w:hAnsi="仿宋" w:eastAsia="仿宋"/>
          <w:color w:val="auto"/>
          <w:sz w:val="28"/>
          <w:szCs w:val="28"/>
        </w:rPr>
        <w:t xml:space="preserve">     </w:t>
      </w:r>
      <w:r>
        <w:rPr>
          <w:rFonts w:hint="eastAsia" w:ascii="仿宋" w:hAnsi="仿宋" w:eastAsia="仿宋"/>
          <w:color w:val="auto"/>
          <w:sz w:val="28"/>
          <w:szCs w:val="28"/>
        </w:rPr>
        <w:t xml:space="preserve">  址：</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邮    </w:t>
      </w:r>
      <w:r>
        <w:rPr>
          <w:rFonts w:ascii="仿宋" w:hAnsi="仿宋" w:eastAsia="仿宋"/>
          <w:color w:val="auto"/>
          <w:sz w:val="28"/>
          <w:szCs w:val="28"/>
        </w:rPr>
        <w:t xml:space="preserve">     </w:t>
      </w:r>
      <w:r>
        <w:rPr>
          <w:rFonts w:hint="eastAsia" w:ascii="仿宋" w:hAnsi="仿宋" w:eastAsia="仿宋"/>
          <w:color w:val="auto"/>
          <w:sz w:val="28"/>
          <w:szCs w:val="28"/>
        </w:rPr>
        <w:t xml:space="preserve"> 编：</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电 </w:t>
      </w:r>
      <w:r>
        <w:rPr>
          <w:rFonts w:ascii="仿宋" w:hAnsi="仿宋" w:eastAsia="仿宋"/>
          <w:color w:val="auto"/>
          <w:sz w:val="28"/>
          <w:szCs w:val="28"/>
        </w:rPr>
        <w:t xml:space="preserve"> </w:t>
      </w:r>
      <w:r>
        <w:rPr>
          <w:rFonts w:hint="eastAsia" w:ascii="仿宋" w:hAnsi="仿宋" w:eastAsia="仿宋"/>
          <w:color w:val="auto"/>
          <w:sz w:val="28"/>
          <w:szCs w:val="28"/>
        </w:rPr>
        <w:t>话或传  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bookmarkStart w:id="211" w:name="_Toc266868681"/>
      <w:bookmarkStart w:id="212" w:name="_Toc259692751"/>
      <w:bookmarkStart w:id="213" w:name="_Toc225669330"/>
      <w:bookmarkStart w:id="214" w:name="_Toc254790911"/>
      <w:bookmarkStart w:id="215" w:name="_Toc251613841"/>
      <w:bookmarkStart w:id="216" w:name="_Toc235438354"/>
      <w:bookmarkStart w:id="217" w:name="_Toc235438283"/>
      <w:bookmarkStart w:id="218" w:name="_Toc266870918"/>
      <w:bookmarkStart w:id="219" w:name="_Toc213756059"/>
      <w:bookmarkStart w:id="220" w:name="_Toc230071155"/>
      <w:bookmarkStart w:id="221" w:name="_Toc258401267"/>
      <w:bookmarkStart w:id="222" w:name="_Toc251586243"/>
      <w:bookmarkStart w:id="223" w:name="_Toc219800251"/>
      <w:bookmarkStart w:id="224" w:name="_Toc253066626"/>
      <w:bookmarkStart w:id="225" w:name="_Toc236021459"/>
      <w:bookmarkStart w:id="226" w:name="_Toc227058538"/>
      <w:bookmarkStart w:id="227" w:name="_Toc266870443"/>
      <w:bookmarkStart w:id="228" w:name="_Toc259692658"/>
      <w:bookmarkStart w:id="229" w:name="_Toc223146616"/>
      <w:bookmarkStart w:id="230" w:name="_Toc232302124"/>
      <w:bookmarkStart w:id="231" w:name="_Toc255975018"/>
      <w:bookmarkStart w:id="232" w:name="_Toc217891410"/>
      <w:bookmarkStart w:id="233" w:name="_Toc235438000"/>
      <w:bookmarkStart w:id="234" w:name="_Toc249325722"/>
      <w:bookmarkStart w:id="235" w:name="_Toc259520876"/>
    </w:p>
    <w:p>
      <w:pPr>
        <w:jc w:val="center"/>
        <w:outlineLvl w:val="1"/>
        <w:rPr>
          <w:rFonts w:hint="eastAsia" w:ascii="仿宋" w:hAnsi="仿宋" w:eastAsia="仿宋"/>
          <w:b/>
          <w:color w:val="auto"/>
          <w:sz w:val="28"/>
          <w:szCs w:val="28"/>
        </w:rPr>
      </w:pPr>
      <w:r>
        <w:rPr>
          <w:rFonts w:ascii="仿宋" w:hAnsi="仿宋" w:eastAsia="仿宋"/>
          <w:color w:val="auto"/>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 与 人（全称并加盖公章）：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w:t>
      </w:r>
      <w:r>
        <w:rPr>
          <w:rFonts w:hint="eastAsia" w:ascii="仿宋" w:hAnsi="仿宋" w:eastAsia="仿宋"/>
          <w:color w:val="auto"/>
          <w:sz w:val="28"/>
          <w:szCs w:val="28"/>
          <w:lang w:val="zh-CN"/>
        </w:rPr>
        <w:t>参与人授权代表</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p>
    <w:p>
      <w:pPr>
        <w:spacing w:line="380" w:lineRule="exact"/>
        <w:jc w:val="center"/>
        <w:outlineLvl w:val="2"/>
        <w:rPr>
          <w:rFonts w:ascii="仿宋" w:hAnsi="仿宋" w:eastAsia="仿宋"/>
          <w:b/>
          <w:color w:val="auto"/>
          <w:sz w:val="28"/>
          <w:szCs w:val="28"/>
        </w:rPr>
      </w:pPr>
      <w:r>
        <w:rPr>
          <w:rFonts w:hint="eastAsia" w:ascii="仿宋" w:hAnsi="仿宋" w:eastAsia="仿宋"/>
          <w:b/>
          <w:color w:val="auto"/>
          <w:sz w:val="28"/>
          <w:szCs w:val="28"/>
        </w:rPr>
        <w:br w:type="page"/>
      </w:r>
      <w:bookmarkStart w:id="236" w:name="_Toc181436573"/>
      <w:bookmarkStart w:id="237" w:name="_Toc192996454"/>
      <w:bookmarkStart w:id="238" w:name="_Toc236021462"/>
      <w:bookmarkStart w:id="239" w:name="_Toc259692756"/>
      <w:bookmarkStart w:id="240" w:name="_Toc259692661"/>
      <w:bookmarkStart w:id="241" w:name="_Toc259520879"/>
      <w:bookmarkStart w:id="242" w:name="_Toc203355741"/>
      <w:bookmarkStart w:id="243" w:name="_Toc259520881"/>
      <w:bookmarkStart w:id="244" w:name="_Toc253066629"/>
      <w:bookmarkStart w:id="245" w:name="_Toc255975021"/>
      <w:bookmarkStart w:id="246" w:name="_Toc266868686"/>
      <w:bookmarkStart w:id="247" w:name="_Toc232302127"/>
      <w:bookmarkStart w:id="248" w:name="_Toc235438286"/>
      <w:bookmarkStart w:id="249" w:name="_Toc191783230"/>
      <w:bookmarkStart w:id="250" w:name="_Toc192663694"/>
      <w:bookmarkStart w:id="251" w:name="_Toc169332846"/>
      <w:bookmarkStart w:id="252" w:name="_Toc266870921"/>
      <w:bookmarkStart w:id="253" w:name="_Toc267060081"/>
      <w:bookmarkStart w:id="254" w:name="_Toc258401270"/>
      <w:bookmarkStart w:id="255" w:name="_Toc255975023"/>
      <w:bookmarkStart w:id="256" w:name="_Toc181436469"/>
      <w:bookmarkStart w:id="257" w:name="_Toc254790914"/>
      <w:bookmarkStart w:id="258" w:name="_Toc191803634"/>
      <w:bookmarkStart w:id="259" w:name="_Toc258401272"/>
      <w:bookmarkStart w:id="260" w:name="_Toc266870447"/>
      <w:bookmarkStart w:id="261" w:name="_Toc267060466"/>
      <w:bookmarkStart w:id="262" w:name="_Toc259692754"/>
      <w:bookmarkStart w:id="263" w:name="_Toc191802698"/>
      <w:bookmarkStart w:id="264" w:name="_Toc259692663"/>
      <w:bookmarkStart w:id="265" w:name="_Toc266870922"/>
      <w:bookmarkStart w:id="266" w:name="_Toc182372790"/>
      <w:bookmarkStart w:id="267" w:name="_Toc170798801"/>
      <w:bookmarkStart w:id="268" w:name="_Toc193165742"/>
      <w:bookmarkStart w:id="269" w:name="_Toc182805225"/>
      <w:bookmarkStart w:id="270" w:name="_Toc249325725"/>
      <w:bookmarkStart w:id="271" w:name="_Toc192664161"/>
      <w:bookmarkStart w:id="272" w:name="_Toc180302921"/>
      <w:bookmarkStart w:id="273" w:name="_Toc191789337"/>
      <w:bookmarkStart w:id="274" w:name="_Toc254790916"/>
      <w:bookmarkStart w:id="275" w:name="_Toc160880537"/>
      <w:bookmarkStart w:id="276" w:name="_Toc211917124"/>
      <w:bookmarkStart w:id="277" w:name="_Toc193160456"/>
      <w:bookmarkStart w:id="278" w:name="_Toc251613844"/>
      <w:bookmarkStart w:id="279" w:name="_Toc177985477"/>
      <w:bookmarkStart w:id="280" w:name="_Toc266870446"/>
      <w:bookmarkStart w:id="281" w:name="_Toc266868684"/>
      <w:bookmarkStart w:id="282" w:name="_Toc235438003"/>
      <w:bookmarkStart w:id="283" w:name="_Toc267060220"/>
      <w:bookmarkStart w:id="284" w:name="_Toc169332957"/>
      <w:bookmarkStart w:id="285" w:name="_Toc267060465"/>
      <w:bookmarkStart w:id="286" w:name="_Toc251586246"/>
      <w:bookmarkStart w:id="287" w:name="_Toc267060080"/>
      <w:bookmarkStart w:id="288" w:name="_Toc235438357"/>
      <w:bookmarkStart w:id="289" w:name="_Toc160880168"/>
      <w:bookmarkStart w:id="290" w:name="_Toc192996346"/>
      <w:bookmarkStart w:id="291" w:name="_Toc192663843"/>
      <w:bookmarkStart w:id="292" w:name="_Toc267060221"/>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spacing w:after="0" w:line="480" w:lineRule="exact"/>
        <w:ind w:firstLine="570"/>
        <w:jc w:val="center"/>
        <w:rPr>
          <w:rFonts w:ascii="仿宋" w:hAnsi="仿宋" w:eastAsia="仿宋"/>
          <w:b/>
          <w:bCs/>
          <w:color w:val="auto"/>
          <w:sz w:val="28"/>
          <w:szCs w:val="28"/>
        </w:rPr>
      </w:pPr>
      <w:bookmarkStart w:id="293" w:name="_Toc255975024"/>
      <w:bookmarkStart w:id="294" w:name="_Toc249325726"/>
      <w:bookmarkStart w:id="295" w:name="_Toc259692664"/>
      <w:bookmarkStart w:id="296" w:name="_Toc267059036"/>
      <w:bookmarkStart w:id="297" w:name="_Toc232302128"/>
      <w:bookmarkStart w:id="298" w:name="_Toc235438358"/>
      <w:bookmarkStart w:id="299" w:name="_Toc267059925"/>
      <w:bookmarkStart w:id="300" w:name="_Toc253066630"/>
      <w:bookmarkStart w:id="301" w:name="_Toc254790917"/>
      <w:bookmarkStart w:id="302" w:name="_Toc235438287"/>
      <w:bookmarkStart w:id="303" w:name="_Toc251613845"/>
      <w:bookmarkStart w:id="304" w:name="_Toc267059812"/>
      <w:bookmarkStart w:id="305" w:name="_Toc267060327"/>
      <w:bookmarkStart w:id="306" w:name="_Toc267059187"/>
      <w:bookmarkStart w:id="307" w:name="_Toc267060222"/>
      <w:bookmarkStart w:id="308" w:name="_Toc266870923"/>
      <w:bookmarkStart w:id="309" w:name="_Toc266870448"/>
      <w:bookmarkStart w:id="310" w:name="_Toc267059545"/>
      <w:bookmarkStart w:id="311" w:name="_Toc266870840"/>
      <w:bookmarkStart w:id="312" w:name="_Toc267060467"/>
      <w:bookmarkStart w:id="313" w:name="_Toc251586247"/>
      <w:bookmarkStart w:id="314" w:name="_Toc259692757"/>
      <w:bookmarkStart w:id="315" w:name="_Toc236021463"/>
      <w:bookmarkStart w:id="316" w:name="_Toc267059659"/>
      <w:bookmarkStart w:id="317" w:name="_Toc235438004"/>
      <w:bookmarkStart w:id="318" w:name="_Toc267060082"/>
      <w:bookmarkStart w:id="319" w:name="_Toc266868687"/>
      <w:bookmarkStart w:id="320" w:name="_Toc266868944"/>
      <w:bookmarkStart w:id="321" w:name="_Toc258401273"/>
      <w:bookmarkStart w:id="322" w:name="_Toc259520882"/>
      <w:bookmarkStart w:id="323" w:name="_Toc273178704"/>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spacing w:after="0" w:line="480" w:lineRule="exact"/>
        <w:ind w:firstLine="570"/>
        <w:jc w:val="both"/>
        <w:rPr>
          <w:rFonts w:ascii="仿宋" w:hAnsi="仿宋" w:eastAsia="仿宋"/>
          <w:color w:val="auto"/>
          <w:sz w:val="28"/>
          <w:szCs w:val="28"/>
        </w:rPr>
      </w:pPr>
    </w:p>
    <w:p>
      <w:pPr>
        <w:widowControl w:val="0"/>
        <w:spacing w:after="0" w:line="240" w:lineRule="auto"/>
        <w:ind w:left="420"/>
        <w:jc w:val="center"/>
        <w:outlineLvl w:val="1"/>
        <w:rPr>
          <w:rFonts w:ascii="仿宋" w:hAnsi="仿宋" w:eastAsia="仿宋"/>
          <w:b/>
          <w:color w:val="auto"/>
          <w:sz w:val="28"/>
          <w:szCs w:val="28"/>
        </w:rPr>
      </w:pPr>
    </w:p>
    <w:p>
      <w:pPr>
        <w:rPr>
          <w:rFonts w:ascii="仿宋" w:hAnsi="仿宋" w:eastAsia="仿宋"/>
          <w:b/>
          <w:color w:val="auto"/>
          <w:sz w:val="28"/>
          <w:szCs w:val="28"/>
        </w:rPr>
      </w:pPr>
      <w:r>
        <w:rPr>
          <w:rFonts w:ascii="仿宋" w:hAnsi="仿宋" w:eastAsia="仿宋"/>
          <w:b/>
          <w:color w:val="auto"/>
          <w:sz w:val="28"/>
          <w:szCs w:val="28"/>
        </w:rPr>
        <w:t xml:space="preserve">   </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参与人根据公开询价文件中对售后服务的要求，结合自身实际情况进行承诺</w:t>
      </w:r>
      <w:r>
        <w:rPr>
          <w:rFonts w:ascii="仿宋" w:hAnsi="仿宋" w:eastAsia="仿宋"/>
          <w:color w:val="auto"/>
          <w:sz w:val="28"/>
          <w:szCs w:val="28"/>
        </w:rPr>
        <w:t>（含</w:t>
      </w:r>
      <w:r>
        <w:rPr>
          <w:rFonts w:hint="eastAsia" w:ascii="仿宋" w:hAnsi="仿宋" w:eastAsia="仿宋"/>
          <w:color w:val="auto"/>
          <w:sz w:val="28"/>
          <w:szCs w:val="28"/>
        </w:rPr>
        <w:t>产品质量</w:t>
      </w:r>
      <w:r>
        <w:rPr>
          <w:rFonts w:ascii="仿宋" w:hAnsi="仿宋" w:eastAsia="仿宋"/>
          <w:color w:val="auto"/>
          <w:sz w:val="28"/>
          <w:szCs w:val="28"/>
        </w:rPr>
        <w:t>保障体系等）、交货</w:t>
      </w:r>
      <w:r>
        <w:rPr>
          <w:rFonts w:hint="eastAsia" w:ascii="仿宋" w:hAnsi="仿宋" w:eastAsia="仿宋"/>
          <w:color w:val="auto"/>
          <w:sz w:val="28"/>
          <w:szCs w:val="28"/>
        </w:rPr>
        <w:t>周</w:t>
      </w:r>
      <w:r>
        <w:rPr>
          <w:rFonts w:ascii="仿宋" w:hAnsi="仿宋" w:eastAsia="仿宋"/>
          <w:color w:val="auto"/>
          <w:sz w:val="28"/>
          <w:szCs w:val="28"/>
        </w:rPr>
        <w:t>期承诺等</w:t>
      </w:r>
      <w:r>
        <w:rPr>
          <w:rFonts w:hint="eastAsia" w:ascii="仿宋" w:hAnsi="仿宋" w:eastAsia="仿宋"/>
          <w:color w:val="auto"/>
          <w:sz w:val="28"/>
          <w:szCs w:val="28"/>
        </w:rPr>
        <w:t>。</w:t>
      </w:r>
    </w:p>
    <w:p>
      <w:pPr>
        <w:spacing w:line="500" w:lineRule="exact"/>
        <w:ind w:firstLine="480"/>
        <w:rPr>
          <w:rFonts w:ascii="仿宋" w:hAnsi="仿宋" w:eastAsia="仿宋"/>
          <w:color w:val="auto"/>
          <w:sz w:val="28"/>
          <w:szCs w:val="28"/>
        </w:rPr>
      </w:pPr>
      <w:r>
        <w:rPr>
          <w:rFonts w:hint="eastAsia" w:ascii="仿宋" w:hAnsi="仿宋" w:eastAsia="仿宋"/>
          <w:color w:val="auto"/>
          <w:sz w:val="28"/>
          <w:szCs w:val="28"/>
        </w:rPr>
        <w:t>承诺如下：</w:t>
      </w:r>
    </w:p>
    <w:p>
      <w:pPr>
        <w:spacing w:line="420" w:lineRule="exact"/>
        <w:ind w:firstLine="480"/>
        <w:rPr>
          <w:rFonts w:ascii="仿宋" w:hAnsi="仿宋" w:eastAsia="仿宋"/>
          <w:color w:val="auto"/>
          <w:sz w:val="28"/>
          <w:szCs w:val="28"/>
        </w:rPr>
      </w:pPr>
    </w:p>
    <w:p>
      <w:pPr>
        <w:spacing w:line="380" w:lineRule="exact"/>
        <w:rPr>
          <w:rFonts w:ascii="仿宋" w:hAnsi="仿宋" w:eastAsia="仿宋"/>
          <w:color w:val="auto"/>
          <w:sz w:val="28"/>
          <w:szCs w:val="28"/>
        </w:rPr>
      </w:pPr>
      <w:r>
        <w:rPr>
          <w:rFonts w:ascii="仿宋" w:hAnsi="仿宋" w:eastAsia="仿宋"/>
          <w:color w:val="auto"/>
          <w:sz w:val="28"/>
          <w:szCs w:val="28"/>
        </w:rPr>
        <w:t xml:space="preserve">                            </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ind w:firstLine="3640" w:firstLineChars="1300"/>
        <w:rPr>
          <w:rFonts w:ascii="仿宋" w:hAnsi="仿宋" w:eastAsia="仿宋"/>
          <w:color w:val="auto"/>
          <w:sz w:val="28"/>
          <w:szCs w:val="28"/>
        </w:rPr>
      </w:pPr>
      <w:r>
        <w:rPr>
          <w:rFonts w:hint="eastAsia" w:ascii="仿宋" w:hAnsi="仿宋" w:eastAsia="仿宋"/>
          <w:color w:val="auto"/>
          <w:sz w:val="28"/>
          <w:szCs w:val="28"/>
        </w:rPr>
        <w:t>参 与 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420" w:lineRule="exact"/>
        <w:ind w:firstLine="426"/>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eastAsia" w:ascii="仿宋" w:hAnsi="仿宋" w:eastAsia="仿宋"/>
          <w:color w:val="auto"/>
          <w:sz w:val="28"/>
          <w:szCs w:val="28"/>
        </w:rPr>
        <w:t xml:space="preserve">日   </w:t>
      </w:r>
      <w:r>
        <w:rPr>
          <w:rFonts w:ascii="仿宋" w:hAnsi="仿宋" w:eastAsia="仿宋"/>
          <w:color w:val="auto"/>
          <w:sz w:val="28"/>
          <w:szCs w:val="28"/>
        </w:rPr>
        <w:t xml:space="preserve"> </w:t>
      </w:r>
      <w:r>
        <w:rPr>
          <w:rFonts w:hint="eastAsia" w:ascii="仿宋" w:hAnsi="仿宋" w:eastAsia="仿宋"/>
          <w:color w:val="auto"/>
          <w:sz w:val="28"/>
          <w:szCs w:val="28"/>
        </w:rPr>
        <w:t xml:space="preserve">  期：</w:t>
      </w:r>
      <w:r>
        <w:rPr>
          <w:rFonts w:hint="eastAsia" w:ascii="仿宋" w:hAnsi="仿宋" w:eastAsia="仿宋"/>
          <w:color w:val="auto"/>
          <w:sz w:val="28"/>
          <w:szCs w:val="28"/>
          <w:u w:val="single"/>
        </w:rPr>
        <w:t xml:space="preserve">                                </w:t>
      </w:r>
    </w:p>
    <w:sectPr>
      <w:headerReference r:id="rId12" w:type="first"/>
      <w:headerReference r:id="rId11" w:type="default"/>
      <w:footerReference r:id="rId13"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广州应用科技学院肇庆校区教师工作室窗帘、浴帘采购及安装项目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项目编号：A-XJ2021-13</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广州应用科技学院肇庆校区教师工作室窗帘、浴帘采购及安装项目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项目编号：A-XJ2021-13</w:t>
    </w:r>
    <w:r>
      <w:rPr>
        <w:rFonts w:hint="eastAsia" w:ascii="仿宋" w:hAnsi="仿宋" w:eastAsia="仿宋" w:cs="仿宋"/>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72F5A"/>
    <w:multiLevelType w:val="singleLevel"/>
    <w:tmpl w:val="8F872F5A"/>
    <w:lvl w:ilvl="0" w:tentative="0">
      <w:start w:val="1"/>
      <w:numFmt w:val="chineseCounting"/>
      <w:suff w:val="nothing"/>
      <w:lvlText w:val="（%1）"/>
      <w:lvlJc w:val="left"/>
      <w:rPr>
        <w:rFonts w:hint="eastAsia"/>
      </w:rPr>
    </w:lvl>
  </w:abstractNum>
  <w:abstractNum w:abstractNumId="1">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CC23B77"/>
    <w:multiLevelType w:val="singleLevel"/>
    <w:tmpl w:val="6CC23B77"/>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E11567"/>
    <w:rsid w:val="00E3310A"/>
    <w:rsid w:val="00E33B9E"/>
    <w:rsid w:val="00E33C1C"/>
    <w:rsid w:val="00E95973"/>
    <w:rsid w:val="00ED2437"/>
    <w:rsid w:val="00EE3803"/>
    <w:rsid w:val="00F0149B"/>
    <w:rsid w:val="00F8646A"/>
    <w:rsid w:val="00F876DE"/>
    <w:rsid w:val="00FF1750"/>
    <w:rsid w:val="0140417E"/>
    <w:rsid w:val="022E601D"/>
    <w:rsid w:val="02361171"/>
    <w:rsid w:val="045A2CCF"/>
    <w:rsid w:val="05BB1A0A"/>
    <w:rsid w:val="065D4444"/>
    <w:rsid w:val="06945725"/>
    <w:rsid w:val="06AF3037"/>
    <w:rsid w:val="07B62536"/>
    <w:rsid w:val="07E35186"/>
    <w:rsid w:val="08E62126"/>
    <w:rsid w:val="0A532C00"/>
    <w:rsid w:val="0D3A6091"/>
    <w:rsid w:val="10226625"/>
    <w:rsid w:val="10ED3203"/>
    <w:rsid w:val="114A5509"/>
    <w:rsid w:val="1185663E"/>
    <w:rsid w:val="129D17D3"/>
    <w:rsid w:val="12CD0E9B"/>
    <w:rsid w:val="136A33EA"/>
    <w:rsid w:val="169623F6"/>
    <w:rsid w:val="17656A5C"/>
    <w:rsid w:val="1A8D1208"/>
    <w:rsid w:val="1A9A4C8C"/>
    <w:rsid w:val="1BD8209C"/>
    <w:rsid w:val="1C304960"/>
    <w:rsid w:val="1C947BE1"/>
    <w:rsid w:val="1E906C49"/>
    <w:rsid w:val="1FD8229F"/>
    <w:rsid w:val="22767DD8"/>
    <w:rsid w:val="22B86DEA"/>
    <w:rsid w:val="230F788F"/>
    <w:rsid w:val="238A6C25"/>
    <w:rsid w:val="246A7197"/>
    <w:rsid w:val="26B17AC9"/>
    <w:rsid w:val="27A1383D"/>
    <w:rsid w:val="295A1D21"/>
    <w:rsid w:val="2D0E7A67"/>
    <w:rsid w:val="2EA536B4"/>
    <w:rsid w:val="2EF7798D"/>
    <w:rsid w:val="2F7331C1"/>
    <w:rsid w:val="2FEB25BE"/>
    <w:rsid w:val="30F17CA7"/>
    <w:rsid w:val="31221C5D"/>
    <w:rsid w:val="32D90657"/>
    <w:rsid w:val="34E95998"/>
    <w:rsid w:val="362605E8"/>
    <w:rsid w:val="36360AA4"/>
    <w:rsid w:val="36D321B6"/>
    <w:rsid w:val="376D015E"/>
    <w:rsid w:val="397C6447"/>
    <w:rsid w:val="3A35608A"/>
    <w:rsid w:val="3AC90248"/>
    <w:rsid w:val="3BB5214F"/>
    <w:rsid w:val="3EE27FC8"/>
    <w:rsid w:val="3EEA3ED6"/>
    <w:rsid w:val="3F3159F3"/>
    <w:rsid w:val="40F8687D"/>
    <w:rsid w:val="410628D5"/>
    <w:rsid w:val="42BD1856"/>
    <w:rsid w:val="4487413C"/>
    <w:rsid w:val="44BE0C05"/>
    <w:rsid w:val="44E4692A"/>
    <w:rsid w:val="45A04018"/>
    <w:rsid w:val="45BA5DDA"/>
    <w:rsid w:val="48110EDD"/>
    <w:rsid w:val="48333D21"/>
    <w:rsid w:val="48A55E60"/>
    <w:rsid w:val="48B47BBD"/>
    <w:rsid w:val="49110A18"/>
    <w:rsid w:val="49A60ED3"/>
    <w:rsid w:val="49F01C46"/>
    <w:rsid w:val="49F530B1"/>
    <w:rsid w:val="4A5C0CFF"/>
    <w:rsid w:val="4B1B2E13"/>
    <w:rsid w:val="4BDE1CD0"/>
    <w:rsid w:val="4E903F0C"/>
    <w:rsid w:val="4F546739"/>
    <w:rsid w:val="4FB81023"/>
    <w:rsid w:val="50515071"/>
    <w:rsid w:val="5148282A"/>
    <w:rsid w:val="51545FD4"/>
    <w:rsid w:val="529B157D"/>
    <w:rsid w:val="55B56E14"/>
    <w:rsid w:val="56F31D1B"/>
    <w:rsid w:val="56F348A7"/>
    <w:rsid w:val="582D2290"/>
    <w:rsid w:val="58DF54BD"/>
    <w:rsid w:val="5A4F6AA1"/>
    <w:rsid w:val="5A5C6AD5"/>
    <w:rsid w:val="5B4125FD"/>
    <w:rsid w:val="5C88219A"/>
    <w:rsid w:val="5C957357"/>
    <w:rsid w:val="5F346B43"/>
    <w:rsid w:val="5F991C4F"/>
    <w:rsid w:val="60B9458A"/>
    <w:rsid w:val="625168E3"/>
    <w:rsid w:val="62F33506"/>
    <w:rsid w:val="63703703"/>
    <w:rsid w:val="64137B6F"/>
    <w:rsid w:val="66907979"/>
    <w:rsid w:val="671C32A5"/>
    <w:rsid w:val="67674747"/>
    <w:rsid w:val="67930494"/>
    <w:rsid w:val="690F6029"/>
    <w:rsid w:val="6B47434B"/>
    <w:rsid w:val="6B8949F7"/>
    <w:rsid w:val="6D1C2ED6"/>
    <w:rsid w:val="6D1C4AAE"/>
    <w:rsid w:val="6DF63CCC"/>
    <w:rsid w:val="6E6D1533"/>
    <w:rsid w:val="6E9E0DE3"/>
    <w:rsid w:val="6F6E5E28"/>
    <w:rsid w:val="70526764"/>
    <w:rsid w:val="70E0562B"/>
    <w:rsid w:val="721B2883"/>
    <w:rsid w:val="724F08DE"/>
    <w:rsid w:val="75C82669"/>
    <w:rsid w:val="766A0ABF"/>
    <w:rsid w:val="78A24474"/>
    <w:rsid w:val="78EB7266"/>
    <w:rsid w:val="7A0415F3"/>
    <w:rsid w:val="7BAB43D2"/>
    <w:rsid w:val="7F1C2553"/>
    <w:rsid w:val="7F937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0</TotalTime>
  <ScaleCrop>false</ScaleCrop>
  <LinksUpToDate>false</LinksUpToDate>
  <CharactersWithSpaces>3430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九方</cp:lastModifiedBy>
  <dcterms:modified xsi:type="dcterms:W3CDTF">2021-04-17T11:50:51Z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37C28E261E1E4CC3AC20C9C6C00307E2</vt:lpwstr>
  </property>
</Properties>
</file>