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color w:val="auto"/>
          <w:sz w:val="72"/>
          <w:szCs w:val="72"/>
        </w:rPr>
      </w:pPr>
      <w:bookmarkStart w:id="0" w:name="_Hlk38472698"/>
      <w:r>
        <w:rPr>
          <w:rFonts w:hint="eastAsia" w:ascii="仿宋" w:hAnsi="仿宋" w:eastAsia="仿宋"/>
          <w:b/>
          <w:color w:val="auto"/>
          <w:sz w:val="72"/>
          <w:szCs w:val="72"/>
          <w:lang w:val="en-US" w:eastAsia="zh-CN"/>
        </w:rPr>
        <w:t>广州大学松田学院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社会体育系体育用品采购</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A-XJ2020-33</w:t>
      </w:r>
    </w:p>
    <w:p>
      <w:pPr>
        <w:spacing w:line="500" w:lineRule="exact"/>
        <w:ind w:left="4501" w:leftChars="1141" w:hanging="1991" w:hangingChars="551"/>
        <w:rPr>
          <w:rFonts w:ascii="仿宋" w:hAnsi="仿宋" w:eastAsia="仿宋"/>
          <w:b/>
          <w:color w:val="auto"/>
          <w:sz w:val="36"/>
          <w:szCs w:val="36"/>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2530253"/>
      <w:bookmarkStart w:id="5" w:name="_Toc258401210"/>
      <w:bookmarkStart w:id="6" w:name="_Toc219800200"/>
      <w:bookmarkStart w:id="7" w:name="_Toc212526081"/>
      <w:bookmarkStart w:id="8" w:name="_Toc169332904"/>
      <w:bookmarkStart w:id="9" w:name="_Toc253066567"/>
      <w:bookmarkStart w:id="10" w:name="_Toc235438297"/>
      <w:bookmarkStart w:id="11" w:name="_Toc251586187"/>
      <w:bookmarkStart w:id="12" w:name="_Toc225669277"/>
      <w:bookmarkStart w:id="13" w:name="_Toc267059010"/>
      <w:bookmarkStart w:id="14" w:name="_Toc217891359"/>
      <w:bookmarkStart w:id="15" w:name="_Toc223146565"/>
      <w:bookmarkStart w:id="16" w:name="_Toc254790852"/>
      <w:bookmarkStart w:id="17" w:name="_Toc227058483"/>
      <w:bookmarkStart w:id="18" w:name="_Toc216241307"/>
      <w:bookmarkStart w:id="19" w:name="_Toc259520819"/>
      <w:bookmarkStart w:id="20" w:name="_Toc267059633"/>
      <w:bookmarkStart w:id="21" w:name="_Toc160880487"/>
      <w:bookmarkStart w:id="22" w:name="_Toc266868924"/>
      <w:bookmarkStart w:id="23" w:name="_Toc267060407"/>
      <w:bookmarkStart w:id="24" w:name="_Toc267059899"/>
      <w:bookmarkStart w:id="25" w:name="_Toc170798743"/>
      <w:bookmarkStart w:id="26" w:name="_Toc211937196"/>
      <w:bookmarkStart w:id="27" w:name="_Toc267059161"/>
      <w:bookmarkStart w:id="28" w:name="_Toc212454753"/>
      <w:bookmarkStart w:id="29" w:name="_Toc259692693"/>
      <w:bookmarkStart w:id="30" w:name="_Toc266870861"/>
      <w:bookmarkStart w:id="31" w:name="_Toc169332794"/>
      <w:bookmarkStart w:id="32" w:name="_Toc267060162"/>
      <w:bookmarkStart w:id="33" w:name="_Toc236021402"/>
      <w:bookmarkStart w:id="34" w:name="_Toc267059519"/>
      <w:bookmarkStart w:id="35" w:name="_Toc212456146"/>
      <w:bookmarkStart w:id="36" w:name="_Toc207014580"/>
      <w:bookmarkStart w:id="37" w:name="_Toc249325665"/>
      <w:bookmarkStart w:id="38" w:name="_Toc177985424"/>
      <w:bookmarkStart w:id="39" w:name="_Toc235438227"/>
      <w:bookmarkStart w:id="40" w:name="_Toc266868624"/>
      <w:bookmarkStart w:id="41" w:name="_Toc255974963"/>
      <w:bookmarkStart w:id="42" w:name="_Toc251613780"/>
      <w:bookmarkStart w:id="43" w:name="_Toc266870386"/>
      <w:bookmarkStart w:id="44" w:name="_Toc267059786"/>
      <w:bookmarkStart w:id="45" w:name="_Toc235437942"/>
      <w:bookmarkStart w:id="46" w:name="_Toc267060022"/>
      <w:bookmarkStart w:id="47" w:name="_Toc273178686"/>
      <w:bookmarkStart w:id="48" w:name="_Toc259692600"/>
      <w:r>
        <w:rPr>
          <w:rFonts w:hint="eastAsia" w:ascii="仿宋" w:hAnsi="仿宋" w:eastAsia="仿宋"/>
          <w:b/>
          <w:color w:val="auto"/>
          <w:sz w:val="36"/>
          <w:szCs w:val="36"/>
          <w:lang w:val="en-US" w:eastAsia="zh-CN"/>
        </w:rPr>
        <w:t>广州大学松田学院关于社会体育系体育用品采购项目</w:t>
      </w:r>
    </w:p>
    <w:p>
      <w:pPr>
        <w:spacing w:line="500" w:lineRule="exact"/>
        <w:ind w:firstLine="2331" w:firstLineChars="645"/>
        <w:rPr>
          <w:rFonts w:ascii="仿宋" w:hAnsi="仿宋" w:eastAsia="仿宋"/>
          <w:b/>
          <w:color w:val="auto"/>
          <w:sz w:val="36"/>
          <w:szCs w:val="36"/>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lang w:val="en-US" w:eastAsia="zh-CN"/>
        </w:rPr>
        <w:t>广州大学松田学院</w:t>
      </w:r>
      <w:r>
        <w:rPr>
          <w:rFonts w:ascii="仿宋" w:hAnsi="仿宋" w:eastAsia="仿宋"/>
          <w:color w:val="auto"/>
          <w:sz w:val="28"/>
          <w:szCs w:val="28"/>
        </w:rPr>
        <w:t>是教育部批准成立的全日制普通本科院校。</w:t>
      </w:r>
      <w:r>
        <w:rPr>
          <w:rFonts w:hint="eastAsia" w:ascii="仿宋" w:hAnsi="仿宋" w:eastAsia="仿宋"/>
          <w:color w:val="auto"/>
          <w:sz w:val="28"/>
          <w:szCs w:val="28"/>
        </w:rPr>
        <w:t>2004年经国家教育部批准，广州大学松田学院转设为具有独立法人资格的全日制普通本科高等院校（</w:t>
      </w:r>
      <w:r>
        <w:rPr>
          <w:rFonts w:hint="default" w:ascii="仿宋" w:hAnsi="仿宋" w:eastAsia="仿宋"/>
          <w:color w:val="auto"/>
          <w:sz w:val="28"/>
          <w:szCs w:val="28"/>
        </w:rPr>
        <w:fldChar w:fldCharType="begin"/>
      </w:r>
      <w:r>
        <w:rPr>
          <w:rFonts w:hint="default" w:ascii="仿宋" w:hAnsi="仿宋" w:eastAsia="仿宋"/>
          <w:color w:val="auto"/>
          <w:sz w:val="28"/>
          <w:szCs w:val="28"/>
        </w:rPr>
        <w:instrText xml:space="preserve"> HYPERLINK "https://baike.baidu.com/item/%E7%8B%AC%E7%AB%8B%E5%AD%A6%E9%99%A2" \t "https://baike.baidu.com/item/%E5%B9%BF%E5%B7%9E%E5%A4%A7%E5%AD%A6%E6%9D%BE%E7%94%B0%E5%AD%A6%E9%99%A2/_blank" </w:instrText>
      </w:r>
      <w:r>
        <w:rPr>
          <w:rFonts w:hint="default" w:ascii="仿宋" w:hAnsi="仿宋" w:eastAsia="仿宋"/>
          <w:color w:val="auto"/>
          <w:sz w:val="28"/>
          <w:szCs w:val="28"/>
        </w:rPr>
        <w:fldChar w:fldCharType="separate"/>
      </w:r>
      <w:r>
        <w:rPr>
          <w:rFonts w:hint="default" w:ascii="仿宋" w:hAnsi="仿宋" w:eastAsia="仿宋"/>
          <w:color w:val="auto"/>
          <w:sz w:val="28"/>
          <w:szCs w:val="28"/>
        </w:rPr>
        <w:t>独立学院</w:t>
      </w:r>
      <w:r>
        <w:rPr>
          <w:rFonts w:hint="default" w:ascii="仿宋" w:hAnsi="仿宋" w:eastAsia="仿宋"/>
          <w:color w:val="auto"/>
          <w:sz w:val="28"/>
          <w:szCs w:val="28"/>
        </w:rPr>
        <w:fldChar w:fldCharType="end"/>
      </w:r>
      <w:r>
        <w:rPr>
          <w:rFonts w:hint="default" w:ascii="仿宋" w:hAnsi="仿宋" w:eastAsia="仿宋"/>
          <w:color w:val="auto"/>
          <w:sz w:val="28"/>
          <w:szCs w:val="28"/>
        </w:rPr>
        <w:t>）。</w:t>
      </w:r>
      <w:r>
        <w:rPr>
          <w:rFonts w:hint="eastAsia" w:ascii="仿宋" w:hAnsi="仿宋" w:eastAsia="仿宋"/>
          <w:color w:val="auto"/>
          <w:sz w:val="28"/>
          <w:szCs w:val="28"/>
        </w:rPr>
        <w:t>2005年通过了教育部关于对独立学院办学条件和教学工作的专项检查。</w:t>
      </w:r>
      <w:r>
        <w:rPr>
          <w:rFonts w:ascii="仿宋" w:hAnsi="仿宋" w:eastAsia="仿宋"/>
          <w:color w:val="auto"/>
          <w:sz w:val="28"/>
          <w:szCs w:val="28"/>
        </w:rPr>
        <w:t>2011年通过教育部本科教学工作合格评估。</w:t>
      </w:r>
      <w:r>
        <w:rPr>
          <w:rFonts w:hint="eastAsia" w:ascii="仿宋" w:hAnsi="仿宋" w:eastAsia="仿宋"/>
          <w:color w:val="auto"/>
          <w:sz w:val="28"/>
          <w:szCs w:val="28"/>
        </w:rPr>
        <w:t>根据需要，对</w:t>
      </w:r>
      <w:r>
        <w:rPr>
          <w:rFonts w:hint="eastAsia" w:ascii="仿宋" w:hAnsi="仿宋" w:eastAsia="仿宋"/>
          <w:color w:val="auto"/>
          <w:sz w:val="28"/>
          <w:szCs w:val="28"/>
          <w:lang w:val="en-US" w:eastAsia="zh-CN"/>
        </w:rPr>
        <w:t>社会体育系体育用品采购项</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A-XJ2020-33</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项目名称：广州大学松田学院关于社会体育系体育用品采购项目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50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50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w:t>
      </w:r>
      <w:bookmarkStart w:id="350" w:name="_GoBack"/>
      <w:bookmarkEnd w:id="350"/>
      <w:r>
        <w:rPr>
          <w:rFonts w:hint="eastAsia" w:ascii="仿宋" w:hAnsi="仿宋" w:eastAsia="仿宋"/>
          <w:color w:val="auto"/>
          <w:sz w:val="28"/>
          <w:szCs w:val="28"/>
        </w:rPr>
        <w:t>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val="en-US" w:eastAsia="zh-CN"/>
        </w:rPr>
        <w:t>2020</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12</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31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上午11点</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报价响应文件递交地点：广州市增城区朱村街朱村大道东432号广州大学松田学院资产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rPr>
        <w:t>020-82852717</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1"/>
        <w:numPr>
          <w:ilvl w:val="0"/>
          <w:numId w:val="2"/>
        </w:numPr>
        <w:spacing w:line="360" w:lineRule="auto"/>
        <w:outlineLvl w:val="0"/>
        <w:rPr>
          <w:rFonts w:hint="eastAsia" w:ascii="仿宋" w:hAnsi="仿宋" w:eastAsia="仿宋" w:cs="仿宋"/>
          <w:b w:val="0"/>
          <w:bCs/>
          <w:color w:val="auto"/>
          <w:sz w:val="28"/>
          <w:szCs w:val="28"/>
          <w:lang w:val="en-US" w:eastAsia="zh-CN"/>
        </w:rPr>
      </w:pPr>
      <w:r>
        <w:rPr>
          <w:rFonts w:hint="eastAsia" w:ascii="仿宋" w:hAnsi="仿宋" w:eastAsia="仿宋" w:cs="仿宋"/>
          <w:b/>
          <w:color w:val="auto"/>
          <w:sz w:val="44"/>
          <w:szCs w:val="44"/>
        </w:rPr>
        <w:t>公开询价货物一览表</w:t>
      </w:r>
      <w:bookmarkEnd w:id="49"/>
    </w:p>
    <w:p>
      <w:pPr>
        <w:pStyle w:val="51"/>
        <w:keepNext w:val="0"/>
        <w:keepLines w:val="0"/>
        <w:pageBreakBefore w:val="0"/>
        <w:numPr>
          <w:ilvl w:val="0"/>
          <w:numId w:val="0"/>
        </w:numPr>
        <w:kinsoku/>
        <w:wordWrap/>
        <w:overflowPunct/>
        <w:topLinePunct w:val="0"/>
        <w:bidi w:val="0"/>
        <w:spacing w:line="440" w:lineRule="exact"/>
        <w:jc w:val="right"/>
        <w:textAlignment w:val="auto"/>
        <w:outlineLvl w:val="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单位：元</w:t>
      </w:r>
    </w:p>
    <w:tbl>
      <w:tblPr>
        <w:tblStyle w:val="23"/>
        <w:tblpPr w:leftFromText="180" w:rightFromText="180" w:vertAnchor="text" w:horzAnchor="page" w:tblpX="1262" w:tblpY="548"/>
        <w:tblOverlap w:val="never"/>
        <w:tblW w:w="9345" w:type="dxa"/>
        <w:tblInd w:w="0" w:type="dxa"/>
        <w:tblLayout w:type="fixed"/>
        <w:tblCellMar>
          <w:top w:w="0" w:type="dxa"/>
          <w:left w:w="108" w:type="dxa"/>
          <w:bottom w:w="0" w:type="dxa"/>
          <w:right w:w="108" w:type="dxa"/>
        </w:tblCellMar>
      </w:tblPr>
      <w:tblGrid>
        <w:gridCol w:w="593"/>
        <w:gridCol w:w="1627"/>
        <w:gridCol w:w="2528"/>
        <w:gridCol w:w="787"/>
        <w:gridCol w:w="657"/>
        <w:gridCol w:w="1070"/>
        <w:gridCol w:w="1020"/>
        <w:gridCol w:w="1063"/>
      </w:tblGrid>
      <w:tr>
        <w:tblPrEx>
          <w:tblCellMar>
            <w:top w:w="0" w:type="dxa"/>
            <w:left w:w="108" w:type="dxa"/>
            <w:bottom w:w="0" w:type="dxa"/>
            <w:right w:w="108" w:type="dxa"/>
          </w:tblCellMar>
        </w:tblPrEx>
        <w:trPr>
          <w:trHeight w:val="492" w:hRule="atLeast"/>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6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25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规格型号（技术参数）</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单价（元）</w:t>
            </w: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总价（元）</w:t>
            </w: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肺活量吹嘴</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9200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人体彩绘笔</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盒</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20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气排球</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80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气排球网</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副</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12</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34"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气排球柱</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副</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4</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网球</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60个/包</w:t>
            </w: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袋</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推水器</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1M</w:t>
            </w: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8</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运球网兜</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用来装篮球足球排球</w:t>
            </w: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9</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秒表</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多功能30道</w:t>
            </w: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块</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40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羽毛球</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筒</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100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羽毛球拍</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排球</w:t>
            </w:r>
          </w:p>
        </w:tc>
        <w:tc>
          <w:tcPr>
            <w:tcW w:w="252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30</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13</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乒乓球</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500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乒乓球挡球网</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15</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乒乓球捡球器</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16</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塑料脸盆</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17</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钢丝跳绳</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3M钢丝绳</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条</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20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18</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超音速团队</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数字版、生肖版</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盒</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19</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极速60秒</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盒</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20</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能量传递道具</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21</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同心鼓</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大号</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22</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彩旗</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5色</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幅</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23</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旗杆</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1.4M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支</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10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24</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哑人筑塔</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穿越雷阵</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26</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地标胶布</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盒</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27</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攀岩下降器</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28</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胸式上升器</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29</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七巧板</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30</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呼吸的力量</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2-13人套装</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31</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动力绳</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9.5mmX30m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根</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32</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不倒森林</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大号120cm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33</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穿越电网</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34</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82公分带半边肌肉起此点</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85公分G3</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35</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人体肌肉画笔</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12色</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36</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健身球</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65cm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37</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多功能腰臀比减肥尺</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减肥尺D38</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条</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38</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皮褶卡钳</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39</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跆拳道地垫</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1mX1mX3cm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张</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220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40</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雪糕筒</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18cm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20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41</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绳梯</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10米20节</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42</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小栏架</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23cm 30cm  4.cm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43</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标志桶</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38cm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44</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训练环</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50cm</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45</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7人制足球网</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高1.9米，长5.44米</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46</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足球</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5号</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rPr>
            </w:pPr>
            <w:r>
              <w:rPr>
                <w:rFonts w:hint="eastAsia" w:ascii="仿宋" w:hAnsi="仿宋" w:eastAsia="仿宋" w:cs="仿宋"/>
                <w:i w:val="0"/>
                <w:color w:val="auto"/>
                <w:kern w:val="0"/>
                <w:sz w:val="22"/>
                <w:szCs w:val="22"/>
                <w:u w:val="none"/>
                <w:lang w:val="en-US" w:eastAsia="zh-CN" w:bidi="ar"/>
              </w:rPr>
              <w:t>个</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rPr>
            </w:pPr>
            <w:r>
              <w:rPr>
                <w:rFonts w:hint="eastAsia" w:ascii="仿宋" w:hAnsi="仿宋" w:eastAsia="仿宋" w:cs="仿宋"/>
                <w:i w:val="0"/>
                <w:color w:val="auto"/>
                <w:kern w:val="0"/>
                <w:sz w:val="22"/>
                <w:szCs w:val="22"/>
                <w:u w:val="none"/>
                <w:lang w:val="en-US" w:eastAsia="zh-CN" w:bidi="ar"/>
              </w:rPr>
              <w:t>60</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47</w:t>
            </w:r>
          </w:p>
        </w:tc>
        <w:tc>
          <w:tcPr>
            <w:tcW w:w="16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强力胶</w:t>
            </w:r>
          </w:p>
        </w:tc>
        <w:tc>
          <w:tcPr>
            <w:tcW w:w="2528"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铸工胶</w:t>
            </w:r>
          </w:p>
        </w:tc>
        <w:tc>
          <w:tcPr>
            <w:tcW w:w="78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bl>
    <w:p>
      <w:pPr>
        <w:numPr>
          <w:ilvl w:val="0"/>
          <w:numId w:val="0"/>
        </w:numPr>
        <w:spacing w:line="240" w:lineRule="auto"/>
        <w:ind w:leftChars="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注：1、以上报价包含税费、运费、安装费等一切费用，卖方需开具足额的增值税普通发票。</w:t>
      </w:r>
    </w:p>
    <w:p>
      <w:pPr>
        <w:ind w:firstLine="560" w:firstLineChars="200"/>
        <w:rPr>
          <w:rFonts w:ascii="仿宋" w:hAnsi="仿宋" w:eastAsia="仿宋"/>
          <w:b/>
          <w:color w:val="auto"/>
          <w:sz w:val="28"/>
          <w:szCs w:val="28"/>
        </w:rPr>
        <w:sectPr>
          <w:headerReference r:id="rId6"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s="仿宋"/>
          <w:b w:val="0"/>
          <w:bCs/>
          <w:color w:val="auto"/>
          <w:sz w:val="28"/>
          <w:szCs w:val="28"/>
          <w:highlight w:val="none"/>
          <w:lang w:val="en-US" w:eastAsia="zh-CN"/>
        </w:rPr>
        <w:t>2、报价须提供详细参数和具体品牌，</w:t>
      </w:r>
      <w:r>
        <w:rPr>
          <w:rFonts w:hint="eastAsia" w:ascii="仿宋" w:hAnsi="仿宋" w:eastAsia="仿宋" w:cs="仿宋"/>
          <w:b w:val="0"/>
          <w:bCs/>
          <w:color w:val="auto"/>
          <w:sz w:val="28"/>
          <w:szCs w:val="28"/>
          <w:lang w:val="en-US" w:eastAsia="zh-CN"/>
        </w:rPr>
        <w:t>否则将视为没有实质性响应公开询价文件。</w:t>
      </w:r>
    </w:p>
    <w:p>
      <w:pPr>
        <w:spacing w:line="1000" w:lineRule="exact"/>
        <w:jc w:val="both"/>
        <w:rPr>
          <w:rFonts w:ascii="仿宋" w:hAnsi="仿宋" w:eastAsia="仿宋"/>
          <w:b/>
          <w:color w:val="auto"/>
          <w:sz w:val="72"/>
          <w:szCs w:val="72"/>
        </w:rPr>
      </w:pPr>
    </w:p>
    <w:p>
      <w:pPr>
        <w:spacing w:line="1000" w:lineRule="exact"/>
        <w:jc w:val="center"/>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both"/>
        <w:rPr>
          <w:rFonts w:hint="eastAsia" w:ascii="仿宋" w:hAnsi="仿宋" w:eastAsia="仿宋"/>
          <w:b/>
          <w:color w:val="auto"/>
          <w:sz w:val="72"/>
          <w:szCs w:val="72"/>
          <w:lang w:val="en-US" w:eastAsia="zh-CN"/>
        </w:rPr>
      </w:pP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lang w:val="en-US" w:eastAsia="zh-CN"/>
        </w:rPr>
        <w:t>广州大学松田学院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社会体育系体育用品采购</w:t>
      </w:r>
      <w:r>
        <w:rPr>
          <w:rFonts w:hint="eastAsia" w:ascii="仿宋" w:hAnsi="仿宋" w:eastAsia="仿宋"/>
          <w:b/>
          <w:color w:val="auto"/>
          <w:sz w:val="44"/>
          <w:szCs w:val="44"/>
        </w:rPr>
        <w:t>项目</w:t>
      </w:r>
    </w:p>
    <w:p>
      <w:pPr>
        <w:spacing w:line="1000" w:lineRule="exact"/>
        <w:jc w:val="center"/>
        <w:rPr>
          <w:rFonts w:ascii="仿宋" w:hAnsi="仿宋" w:eastAsia="仿宋"/>
          <w:b/>
          <w:color w:val="auto"/>
          <w:sz w:val="44"/>
          <w:szCs w:val="44"/>
        </w:rPr>
      </w:pP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ascii="仿宋" w:hAnsi="仿宋" w:eastAsia="仿宋"/>
          <w:b/>
          <w:bCs/>
          <w:color w:val="auto"/>
          <w:sz w:val="28"/>
          <w:szCs w:val="28"/>
        </w:rPr>
      </w:pPr>
      <w:bookmarkStart w:id="50" w:name="_Toc191789329"/>
      <w:bookmarkStart w:id="51" w:name="_Toc203355733"/>
      <w:bookmarkStart w:id="52" w:name="_Toc192996338"/>
      <w:bookmarkStart w:id="53" w:name="_Toc211917116"/>
      <w:bookmarkStart w:id="54" w:name="_Toc259520865"/>
      <w:bookmarkStart w:id="55" w:name="_Toc259692740"/>
      <w:bookmarkStart w:id="56" w:name="_Toc251613829"/>
      <w:bookmarkStart w:id="57" w:name="_Toc235438344"/>
      <w:bookmarkStart w:id="58" w:name="_Toc235438274"/>
      <w:bookmarkStart w:id="59" w:name="_Toc254790899"/>
      <w:bookmarkStart w:id="60" w:name="_Toc225669322"/>
      <w:bookmarkStart w:id="61" w:name="_Toc191803626"/>
      <w:bookmarkStart w:id="62" w:name="_Toc193165734"/>
      <w:bookmarkStart w:id="63" w:name="_Toc192996446"/>
      <w:bookmarkStart w:id="64" w:name="_Toc259692647"/>
      <w:bookmarkStart w:id="65" w:name="_Toc191802690"/>
      <w:bookmarkStart w:id="66" w:name="_Toc249325711"/>
      <w:bookmarkStart w:id="67" w:name="_Toc192664153"/>
      <w:bookmarkStart w:id="68" w:name="_Toc213755858"/>
      <w:bookmarkStart w:id="69" w:name="_Toc236021449"/>
      <w:bookmarkStart w:id="70" w:name="_Toc255975007"/>
      <w:bookmarkStart w:id="71" w:name="_Toc192663686"/>
      <w:bookmarkStart w:id="72" w:name="_Toc258401256"/>
      <w:bookmarkStart w:id="73" w:name="_Toc213208766"/>
      <w:bookmarkStart w:id="74" w:name="_Toc213755939"/>
      <w:bookmarkStart w:id="75" w:name="_Toc235437991"/>
      <w:bookmarkStart w:id="76" w:name="_Toc217891402"/>
      <w:bookmarkStart w:id="77" w:name="_Toc230071147"/>
      <w:bookmarkStart w:id="78" w:name="_Toc223146608"/>
      <w:bookmarkStart w:id="79" w:name="_Toc213756051"/>
      <w:bookmarkStart w:id="80" w:name="_Toc227058530"/>
      <w:bookmarkStart w:id="81" w:name="_Toc251586231"/>
      <w:bookmarkStart w:id="82" w:name="_Toc192663835"/>
      <w:bookmarkStart w:id="83" w:name="_Toc232302115"/>
      <w:bookmarkStart w:id="84" w:name="_Toc169332838"/>
      <w:bookmarkStart w:id="85" w:name="_Toc160880160"/>
      <w:bookmarkStart w:id="86" w:name="_Toc180302913"/>
      <w:bookmarkStart w:id="87" w:name="_Toc177985469"/>
      <w:bookmarkStart w:id="88" w:name="_Toc160880529"/>
      <w:bookmarkStart w:id="89" w:name="_Toc182805217"/>
      <w:bookmarkStart w:id="90" w:name="_Toc266868670"/>
      <w:bookmarkStart w:id="91" w:name="_Toc213755995"/>
      <w:bookmarkStart w:id="92" w:name="_Toc181436565"/>
      <w:bookmarkStart w:id="93" w:name="_Toc182372782"/>
      <w:bookmarkStart w:id="94" w:name="_Toc191783222"/>
      <w:bookmarkStart w:id="95" w:name="_Toc181436461"/>
      <w:bookmarkStart w:id="96" w:name="_Toc169332949"/>
      <w:bookmarkStart w:id="97" w:name="_Toc170798793"/>
      <w:bookmarkStart w:id="98" w:name="_Toc267060321"/>
      <w:bookmarkStart w:id="99" w:name="_Toc266870432"/>
      <w:bookmarkStart w:id="100" w:name="_Toc266870907"/>
      <w:bookmarkStart w:id="101" w:name="_Toc267059653"/>
      <w:bookmarkStart w:id="102" w:name="_Toc266870833"/>
      <w:bookmarkStart w:id="103" w:name="_Toc267060208"/>
      <w:bookmarkStart w:id="104" w:name="_Toc267060068"/>
      <w:bookmarkStart w:id="105" w:name="_Toc219800243"/>
      <w:bookmarkStart w:id="106" w:name="_Toc267060453"/>
      <w:bookmarkStart w:id="107" w:name="_Toc267059539"/>
      <w:bookmarkStart w:id="108" w:name="_Toc267059806"/>
      <w:bookmarkStart w:id="109" w:name="_Toc266868937"/>
      <w:bookmarkStart w:id="110" w:name="_Toc267059030"/>
      <w:bookmarkStart w:id="111" w:name="_Toc273178698"/>
      <w:bookmarkStart w:id="112" w:name="_Toc267059181"/>
      <w:bookmarkStart w:id="113" w:name="_Toc267059919"/>
      <w:bookmarkStart w:id="114" w:name="_Toc193160448"/>
      <w:bookmarkStart w:id="115" w:name="_Toc253066614"/>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广州大学松田学院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6"/>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Theme="minorHAnsi" w:hAnsiTheme="minorHAnsi" w:eastAsiaTheme="minorEastAsia" w:cstheme="minorBidi"/>
          <w:color w:val="auto"/>
          <w:sz w:val="22"/>
          <w:szCs w:val="22"/>
          <w:lang w:val="en-US" w:eastAsia="zh-CN" w:bidi="ar-SA"/>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3"/>
        <w:tblpPr w:leftFromText="180" w:rightFromText="180" w:vertAnchor="text" w:horzAnchor="page" w:tblpX="1262" w:tblpY="548"/>
        <w:tblOverlap w:val="never"/>
        <w:tblW w:w="9330" w:type="dxa"/>
        <w:tblInd w:w="0" w:type="dxa"/>
        <w:tblLayout w:type="fixed"/>
        <w:tblCellMar>
          <w:top w:w="0" w:type="dxa"/>
          <w:left w:w="108" w:type="dxa"/>
          <w:bottom w:w="0" w:type="dxa"/>
          <w:right w:w="108" w:type="dxa"/>
        </w:tblCellMar>
      </w:tblPr>
      <w:tblGrid>
        <w:gridCol w:w="660"/>
        <w:gridCol w:w="1560"/>
        <w:gridCol w:w="2205"/>
        <w:gridCol w:w="1290"/>
        <w:gridCol w:w="915"/>
        <w:gridCol w:w="975"/>
        <w:gridCol w:w="720"/>
        <w:gridCol w:w="1005"/>
      </w:tblGrid>
      <w:tr>
        <w:tblPrEx>
          <w:tblCellMar>
            <w:top w:w="0" w:type="dxa"/>
            <w:left w:w="108" w:type="dxa"/>
            <w:bottom w:w="0" w:type="dxa"/>
            <w:right w:w="108" w:type="dxa"/>
          </w:tblCellMar>
        </w:tblPrEx>
        <w:trPr>
          <w:trHeight w:val="437"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22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规格型号（技术参数）</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Tahoma"/>
                <w:color w:val="auto"/>
                <w:sz w:val="22"/>
                <w:szCs w:val="22"/>
              </w:rPr>
              <w:t>品牌型号</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单位</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rPr>
              <w:t>单价</w:t>
            </w: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金额</w:t>
            </w:r>
          </w:p>
        </w:tc>
      </w:tr>
      <w:tr>
        <w:tblPrEx>
          <w:tblCellMar>
            <w:top w:w="0" w:type="dxa"/>
            <w:left w:w="108" w:type="dxa"/>
            <w:bottom w:w="0" w:type="dxa"/>
            <w:right w:w="108" w:type="dxa"/>
          </w:tblCellMar>
        </w:tblPrEx>
        <w:trPr>
          <w:trHeight w:val="214"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肺活量吹嘴</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9200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14"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2</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人体彩绘笔</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盒</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29"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3</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气排球</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80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24"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气排球网</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副</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12</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09"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5</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气排球柱</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副</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49"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6</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网球</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60个/包</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袋</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09"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7</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推水器</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1M</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64"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8</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运球网兜</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用来装篮球足球排球</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09"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9</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秒表</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多功能30道</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块</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40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10</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羽毛球</w:t>
            </w:r>
          </w:p>
        </w:tc>
        <w:tc>
          <w:tcPr>
            <w:tcW w:w="22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筒</w:t>
            </w:r>
          </w:p>
        </w:tc>
        <w:tc>
          <w:tcPr>
            <w:tcW w:w="97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100</w:t>
            </w:r>
          </w:p>
        </w:tc>
        <w:tc>
          <w:tcPr>
            <w:tcW w:w="7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11</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羽毛球拍</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12</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排球</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2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13</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乒乓球</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500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7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14</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乒乓球挡球网</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15</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乒乓球捡球器</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16</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塑料脸盆</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17</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钢丝跳绳</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3M钢丝绳</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条</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18</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超音速团队</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数字版、生肖版</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盒</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2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19</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极速60秒</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盒</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20</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能量传递道具</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5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21</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同心鼓</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大号</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2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22</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彩旗</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5色</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幅</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2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23</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旗杆</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1.4M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支</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24</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哑人筑塔</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25</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穿越雷阵</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26</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地标胶布</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盒</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27</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攀岩下降器</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28</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胸式上升器</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29</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七巧板</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2"/>
                <w:szCs w:val="22"/>
                <w:lang w:val="en-US" w:eastAsia="zh-CN" w:bidi="ar-SA"/>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30</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呼吸的力量</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2-13人套装</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31</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动力绳</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9.5mmX30m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根</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32</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不倒森林</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大号120cm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33</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穿越电网</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34</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82公分带半边肌肉起此点</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85公分G3</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35</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人体肌肉画笔</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12色</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2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36</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健身球</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65cm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09"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37</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多功能腰臀比减肥尺</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减肥尺D38</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条</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394"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38</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皮褶卡钳</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i w:val="0"/>
                <w:color w:val="auto"/>
                <w:kern w:val="0"/>
                <w:sz w:val="22"/>
                <w:szCs w:val="22"/>
                <w:u w:val="none"/>
                <w:lang w:val="en-US" w:eastAsia="zh-CN" w:bidi="ar"/>
              </w:rPr>
            </w:pP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39"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39</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跆拳道地垫</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1mX1mX3cm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张</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220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259"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40</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雪糕筒</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18cm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41</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绳梯</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10米20节</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118"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42</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小栏架</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23cm 30cm  4.cm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43</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标志桶</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38cm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44</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训练环</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50cm</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45</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7人制足球网</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高1.9米，长5.44米</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46</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足球</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5号</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i w:val="0"/>
                <w:color w:val="auto"/>
                <w:kern w:val="0"/>
                <w:sz w:val="22"/>
                <w:szCs w:val="22"/>
                <w:u w:val="none"/>
                <w:lang w:val="en-US" w:eastAsia="zh-CN" w:bidi="ar"/>
              </w:rPr>
              <w:t>60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r>
        <w:tblPrEx>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rPr>
              <w:t>47</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强力胶</w:t>
            </w:r>
          </w:p>
        </w:tc>
        <w:tc>
          <w:tcPr>
            <w:tcW w:w="22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铸工胶</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支</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color w:val="auto"/>
                <w:kern w:val="0"/>
                <w:sz w:val="22"/>
                <w:szCs w:val="22"/>
                <w:u w:val="none"/>
                <w:lang w:val="en-US" w:eastAsia="zh-CN" w:bidi="ar"/>
              </w:rPr>
            </w:pP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2"/>
                <w:szCs w:val="22"/>
              </w:rPr>
            </w:pPr>
          </w:p>
        </w:tc>
      </w:tr>
    </w:tbl>
    <w:p>
      <w:pPr>
        <w:numPr>
          <w:ilvl w:val="0"/>
          <w:numId w:val="0"/>
        </w:numPr>
        <w:spacing w:line="240" w:lineRule="auto"/>
        <w:ind w:leftChars="0"/>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注：1、以上报价包含税费、运费、安装费等一切费用，卖方需开具足额的增值税普通发票。</w:t>
      </w:r>
    </w:p>
    <w:p>
      <w:pPr>
        <w:ind w:firstLine="560" w:firstLineChars="200"/>
        <w:rPr>
          <w:rFonts w:ascii="仿宋" w:hAnsi="仿宋" w:eastAsia="仿宋"/>
          <w:b/>
          <w:color w:val="auto"/>
          <w:sz w:val="28"/>
          <w:szCs w:val="28"/>
        </w:rPr>
        <w:sectPr>
          <w:headerReference r:id="rId9"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s="仿宋"/>
          <w:b w:val="0"/>
          <w:bCs/>
          <w:color w:val="auto"/>
          <w:sz w:val="28"/>
          <w:szCs w:val="28"/>
          <w:highlight w:val="none"/>
          <w:lang w:val="en-US" w:eastAsia="zh-CN"/>
        </w:rPr>
        <w:t>2、报价须提供详细参数和具体品牌，</w:t>
      </w:r>
      <w:r>
        <w:rPr>
          <w:rFonts w:hint="eastAsia" w:ascii="仿宋" w:hAnsi="仿宋" w:eastAsia="仿宋" w:cs="仿宋"/>
          <w:b w:val="0"/>
          <w:bCs/>
          <w:color w:val="auto"/>
          <w:sz w:val="28"/>
          <w:szCs w:val="28"/>
          <w:lang w:val="en-US" w:eastAsia="zh-CN"/>
        </w:rPr>
        <w:t>否则将视为没有实质性响应公开询价文件。</w:t>
      </w:r>
    </w:p>
    <w:p>
      <w:pPr>
        <w:spacing w:line="380" w:lineRule="exact"/>
        <w:ind w:left="147" w:leftChars="67" w:firstLine="560" w:firstLineChars="200"/>
        <w:rPr>
          <w:rFonts w:ascii="仿宋" w:hAnsi="仿宋" w:eastAsia="仿宋"/>
          <w:color w:val="auto"/>
          <w:sz w:val="28"/>
          <w:szCs w:val="28"/>
        </w:rPr>
      </w:pPr>
    </w:p>
    <w:p>
      <w:pPr>
        <w:spacing w:after="0" w:line="300" w:lineRule="exact"/>
        <w:ind w:firstLine="560" w:firstLineChars="200"/>
        <w:rPr>
          <w:rFonts w:ascii="仿宋" w:hAnsi="仿宋" w:eastAsia="仿宋"/>
          <w:color w:val="auto"/>
          <w:sz w:val="28"/>
          <w:szCs w:val="28"/>
          <w:lang w:val="zh-CN"/>
        </w:rPr>
      </w:pPr>
    </w:p>
    <w:p>
      <w:pPr>
        <w:spacing w:line="380" w:lineRule="exact"/>
        <w:rPr>
          <w:rFonts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170798798"/>
      <w:bookmarkStart w:id="117" w:name="_Toc192664158"/>
      <w:bookmarkStart w:id="118" w:name="_Toc160880534"/>
      <w:bookmarkStart w:id="119" w:name="_Toc225669328"/>
      <w:bookmarkStart w:id="120" w:name="_Toc169332843"/>
      <w:bookmarkStart w:id="121" w:name="_Toc253066624"/>
      <w:bookmarkStart w:id="122" w:name="_Toc232302122"/>
      <w:bookmarkStart w:id="123" w:name="_Toc219800249"/>
      <w:bookmarkStart w:id="124" w:name="_Toc213756057"/>
      <w:bookmarkStart w:id="125" w:name="_Toc182372787"/>
      <w:bookmarkStart w:id="126" w:name="_Toc213756001"/>
      <w:bookmarkStart w:id="127" w:name="_Toc227058536"/>
      <w:bookmarkStart w:id="128" w:name="_Toc181436570"/>
      <w:bookmarkStart w:id="129" w:name="_Toc223146614"/>
      <w:bookmarkStart w:id="130" w:name="_Toc192663840"/>
      <w:bookmarkStart w:id="131" w:name="_Toc266868943"/>
      <w:bookmarkStart w:id="132" w:name="_Toc230071153"/>
      <w:bookmarkStart w:id="133" w:name="_Toc254790909"/>
      <w:bookmarkStart w:id="134" w:name="_Toc213755864"/>
      <w:bookmarkStart w:id="135" w:name="_Toc193160453"/>
      <w:bookmarkStart w:id="136" w:name="_Toc181436466"/>
      <w:bookmarkStart w:id="137" w:name="_Toc267059035"/>
      <w:bookmarkStart w:id="138" w:name="_Toc251613839"/>
      <w:bookmarkStart w:id="139" w:name="_Toc267060326"/>
      <w:bookmarkStart w:id="140" w:name="_Toc193165739"/>
      <w:bookmarkStart w:id="141" w:name="_Toc182805222"/>
      <w:bookmarkStart w:id="142" w:name="_Toc177985474"/>
      <w:bookmarkStart w:id="143" w:name="_Toc192996343"/>
      <w:bookmarkStart w:id="144" w:name="_Toc191803631"/>
      <w:bookmarkStart w:id="145" w:name="_Toc211917121"/>
      <w:bookmarkStart w:id="146" w:name="_Toc192996451"/>
      <w:bookmarkStart w:id="147" w:name="_Toc169332954"/>
      <w:bookmarkStart w:id="148" w:name="_Toc203355738"/>
      <w:bookmarkStart w:id="149" w:name="_Toc213755945"/>
      <w:bookmarkStart w:id="150" w:name="_Toc251586241"/>
      <w:bookmarkStart w:id="151" w:name="_Toc266870916"/>
      <w:bookmarkStart w:id="152" w:name="_Toc273178703"/>
      <w:bookmarkStart w:id="153" w:name="_Toc267060461"/>
      <w:bookmarkStart w:id="154" w:name="_Toc266868679"/>
      <w:bookmarkStart w:id="155" w:name="_Toc259692749"/>
      <w:bookmarkStart w:id="156" w:name="_Toc267059924"/>
      <w:bookmarkStart w:id="157" w:name="_Toc180302918"/>
      <w:bookmarkStart w:id="158" w:name="_Toc192663691"/>
      <w:bookmarkStart w:id="159" w:name="_Toc191789334"/>
      <w:bookmarkStart w:id="160" w:name="_Toc191802695"/>
      <w:bookmarkStart w:id="161" w:name="_Toc267060216"/>
      <w:bookmarkStart w:id="162" w:name="_Toc267059811"/>
      <w:bookmarkStart w:id="163" w:name="_Toc267059544"/>
      <w:bookmarkStart w:id="164" w:name="_Toc235438352"/>
      <w:bookmarkStart w:id="165" w:name="_Toc235437998"/>
      <w:bookmarkStart w:id="166" w:name="_Toc191783227"/>
      <w:bookmarkStart w:id="167" w:name="_Toc249325720"/>
      <w:bookmarkStart w:id="168" w:name="_Toc160880165"/>
      <w:bookmarkStart w:id="169" w:name="_Toc259520874"/>
      <w:bookmarkStart w:id="170" w:name="_Toc235438281"/>
      <w:bookmarkStart w:id="171" w:name="_Toc267059186"/>
      <w:bookmarkStart w:id="172" w:name="_Toc255975016"/>
      <w:bookmarkStart w:id="173" w:name="_Toc258401265"/>
      <w:bookmarkStart w:id="174" w:name="_Toc213208771"/>
      <w:bookmarkStart w:id="175" w:name="_Toc266870839"/>
      <w:bookmarkStart w:id="176" w:name="_Toc267060076"/>
      <w:bookmarkStart w:id="177" w:name="_Toc236021457"/>
      <w:bookmarkStart w:id="178" w:name="_Toc266870441"/>
      <w:bookmarkStart w:id="179" w:name="_Toc267059658"/>
      <w:bookmarkStart w:id="180" w:name="_Toc217891408"/>
      <w:bookmarkStart w:id="181" w:name="_Toc259692656"/>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both"/>
        <w:outlineLvl w:val="1"/>
        <w:rPr>
          <w:rFonts w:ascii="仿宋" w:hAnsi="仿宋" w:eastAsia="仿宋"/>
          <w:b/>
          <w:bCs/>
          <w:color w:val="auto"/>
          <w:sz w:val="28"/>
          <w:szCs w:val="28"/>
        </w:rPr>
      </w:pPr>
    </w:p>
    <w:p>
      <w:pPr>
        <w:jc w:val="center"/>
        <w:rPr>
          <w:rFonts w:ascii="仿宋" w:hAnsi="仿宋" w:eastAsia="仿宋"/>
          <w:b/>
          <w:bCs/>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w:t>
      </w:r>
      <w:bookmarkStart w:id="182" w:name="_Toc259520873"/>
      <w:bookmarkStart w:id="183" w:name="_Toc258401264"/>
      <w:bookmarkStart w:id="184" w:name="_Toc249325719"/>
      <w:bookmarkStart w:id="185" w:name="_Toc254790908"/>
      <w:bookmarkStart w:id="186" w:name="_Toc219800248"/>
      <w:bookmarkStart w:id="187" w:name="_Toc266868678"/>
      <w:bookmarkStart w:id="188" w:name="_Toc255975015"/>
      <w:bookmarkStart w:id="189" w:name="_Toc259692748"/>
      <w:bookmarkStart w:id="190" w:name="_Toc235437997"/>
      <w:bookmarkStart w:id="191" w:name="_Toc267060215"/>
      <w:bookmarkStart w:id="192" w:name="_Toc227058535"/>
      <w:bookmarkStart w:id="193" w:name="_Toc251613838"/>
      <w:bookmarkStart w:id="194" w:name="_Toc266870915"/>
      <w:bookmarkStart w:id="195" w:name="_Toc235438280"/>
      <w:bookmarkStart w:id="196" w:name="_Toc251586240"/>
      <w:bookmarkStart w:id="197" w:name="_Toc253066623"/>
      <w:bookmarkStart w:id="198" w:name="_Toc235438351"/>
      <w:bookmarkStart w:id="199" w:name="_Toc267060075"/>
      <w:bookmarkStart w:id="200" w:name="_Toc223146613"/>
      <w:bookmarkStart w:id="201" w:name="_Toc225669327"/>
      <w:bookmarkStart w:id="202" w:name="_Toc232302121"/>
      <w:bookmarkStart w:id="203" w:name="_Toc236021456"/>
      <w:bookmarkStart w:id="204" w:name="_Toc266870440"/>
      <w:bookmarkStart w:id="205" w:name="_Toc259692655"/>
      <w:bookmarkStart w:id="206" w:name="_Toc267060460"/>
      <w:bookmarkStart w:id="207" w:name="_Toc230071152"/>
      <w:r>
        <w:rPr>
          <w:rFonts w:hint="eastAsia" w:ascii="仿宋" w:hAnsi="仿宋" w:eastAsia="仿宋"/>
          <w:b/>
          <w:bCs/>
          <w:sz w:val="28"/>
          <w:szCs w:val="28"/>
        </w:rPr>
        <w:t>商务偏离表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仿宋" w:hAnsi="仿宋" w:eastAsia="仿宋"/>
          <w:b/>
          <w:bCs/>
          <w:sz w:val="28"/>
          <w:szCs w:val="28"/>
        </w:rPr>
        <w:cr/>
      </w:r>
    </w:p>
    <w:p>
      <w:pPr>
        <w:spacing w:line="380" w:lineRule="exact"/>
        <w:ind w:firstLine="280" w:firstLineChars="100"/>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（全称并加盖公章）</w:t>
      </w:r>
      <w:r>
        <w:rPr>
          <w:rFonts w:hint="eastAsia" w:ascii="仿宋" w:hAnsi="仿宋" w:eastAsia="仿宋"/>
          <w:sz w:val="28"/>
          <w:szCs w:val="28"/>
        </w:rPr>
        <w:t xml:space="preserve">                  项目编号∶</w:t>
      </w:r>
    </w:p>
    <w:tbl>
      <w:tblPr>
        <w:tblStyle w:val="2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75"/>
        <w:gridCol w:w="2878"/>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blHeader/>
          <w:jc w:val="center"/>
        </w:trPr>
        <w:tc>
          <w:tcPr>
            <w:tcW w:w="1129" w:type="dxa"/>
            <w:noWrap w:val="0"/>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货物</w:t>
            </w:r>
          </w:p>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编号</w:t>
            </w:r>
          </w:p>
        </w:tc>
        <w:tc>
          <w:tcPr>
            <w:tcW w:w="2775" w:type="dxa"/>
            <w:noWrap w:val="0"/>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rPr>
              <w:t>询价</w:t>
            </w:r>
            <w:r>
              <w:rPr>
                <w:rFonts w:hint="eastAsia" w:ascii="仿宋" w:hAnsi="仿宋" w:eastAsia="仿宋"/>
                <w:sz w:val="28"/>
                <w:szCs w:val="28"/>
                <w:lang w:val="zh-CN"/>
              </w:rPr>
              <w:t>文件规定的</w:t>
            </w:r>
          </w:p>
          <w:p>
            <w:pPr>
              <w:spacing w:line="360" w:lineRule="auto"/>
              <w:jc w:val="center"/>
              <w:rPr>
                <w:rFonts w:ascii="仿宋" w:hAnsi="仿宋" w:eastAsia="仿宋"/>
                <w:sz w:val="28"/>
                <w:szCs w:val="28"/>
                <w:lang w:val="zh-CN"/>
              </w:rPr>
            </w:pPr>
            <w:r>
              <w:rPr>
                <w:rFonts w:hint="eastAsia" w:ascii="仿宋" w:hAnsi="仿宋" w:eastAsia="仿宋"/>
                <w:sz w:val="28"/>
                <w:szCs w:val="28"/>
                <w:lang w:val="zh-CN"/>
              </w:rPr>
              <w:t>商务要求</w:t>
            </w:r>
          </w:p>
        </w:tc>
        <w:tc>
          <w:tcPr>
            <w:tcW w:w="2878" w:type="dxa"/>
            <w:noWrap w:val="0"/>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响应的商务要求内容</w:t>
            </w:r>
          </w:p>
        </w:tc>
        <w:tc>
          <w:tcPr>
            <w:tcW w:w="2270" w:type="dxa"/>
            <w:noWrap w:val="0"/>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偏离详细说明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noWrap w:val="0"/>
            <w:vAlign w:val="top"/>
          </w:tcPr>
          <w:p>
            <w:pPr>
              <w:spacing w:line="360" w:lineRule="auto"/>
              <w:rPr>
                <w:rFonts w:ascii="仿宋" w:hAnsi="仿宋" w:eastAsia="仿宋"/>
                <w:sz w:val="28"/>
                <w:szCs w:val="28"/>
                <w:lang w:val="zh-CN"/>
              </w:rPr>
            </w:pPr>
          </w:p>
        </w:tc>
        <w:tc>
          <w:tcPr>
            <w:tcW w:w="2775" w:type="dxa"/>
            <w:noWrap w:val="0"/>
            <w:vAlign w:val="top"/>
          </w:tcPr>
          <w:p>
            <w:pPr>
              <w:spacing w:line="360" w:lineRule="auto"/>
              <w:rPr>
                <w:rFonts w:ascii="仿宋" w:hAnsi="仿宋" w:eastAsia="仿宋"/>
                <w:sz w:val="28"/>
                <w:szCs w:val="28"/>
                <w:lang w:val="zh-CN"/>
              </w:rPr>
            </w:pPr>
          </w:p>
        </w:tc>
        <w:tc>
          <w:tcPr>
            <w:tcW w:w="2878" w:type="dxa"/>
            <w:noWrap w:val="0"/>
            <w:vAlign w:val="top"/>
          </w:tcPr>
          <w:p>
            <w:pPr>
              <w:spacing w:line="360" w:lineRule="auto"/>
              <w:rPr>
                <w:rFonts w:ascii="仿宋" w:hAnsi="仿宋" w:eastAsia="仿宋"/>
                <w:sz w:val="28"/>
                <w:szCs w:val="28"/>
                <w:lang w:val="zh-CN"/>
              </w:rPr>
            </w:pPr>
          </w:p>
        </w:tc>
        <w:tc>
          <w:tcPr>
            <w:tcW w:w="2270" w:type="dxa"/>
            <w:noWrap w:val="0"/>
            <w:vAlign w:val="top"/>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noWrap w:val="0"/>
            <w:vAlign w:val="top"/>
          </w:tcPr>
          <w:p>
            <w:pPr>
              <w:spacing w:line="360" w:lineRule="auto"/>
              <w:rPr>
                <w:rFonts w:ascii="仿宋" w:hAnsi="仿宋" w:eastAsia="仿宋"/>
                <w:sz w:val="28"/>
                <w:szCs w:val="28"/>
                <w:lang w:val="zh-CN"/>
              </w:rPr>
            </w:pPr>
          </w:p>
        </w:tc>
        <w:tc>
          <w:tcPr>
            <w:tcW w:w="2775" w:type="dxa"/>
            <w:noWrap w:val="0"/>
            <w:vAlign w:val="top"/>
          </w:tcPr>
          <w:p>
            <w:pPr>
              <w:spacing w:line="360" w:lineRule="auto"/>
              <w:rPr>
                <w:rFonts w:ascii="仿宋" w:hAnsi="仿宋" w:eastAsia="仿宋"/>
                <w:sz w:val="28"/>
                <w:szCs w:val="28"/>
                <w:lang w:val="zh-CN"/>
              </w:rPr>
            </w:pPr>
          </w:p>
        </w:tc>
        <w:tc>
          <w:tcPr>
            <w:tcW w:w="2878" w:type="dxa"/>
            <w:noWrap w:val="0"/>
            <w:vAlign w:val="top"/>
          </w:tcPr>
          <w:p>
            <w:pPr>
              <w:spacing w:line="360" w:lineRule="auto"/>
              <w:rPr>
                <w:rFonts w:ascii="仿宋" w:hAnsi="仿宋" w:eastAsia="仿宋"/>
                <w:sz w:val="28"/>
                <w:szCs w:val="28"/>
                <w:lang w:val="zh-CN"/>
              </w:rPr>
            </w:pPr>
          </w:p>
        </w:tc>
        <w:tc>
          <w:tcPr>
            <w:tcW w:w="2270" w:type="dxa"/>
            <w:noWrap w:val="0"/>
            <w:vAlign w:val="top"/>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noWrap w:val="0"/>
            <w:vAlign w:val="top"/>
          </w:tcPr>
          <w:p>
            <w:pPr>
              <w:spacing w:line="360" w:lineRule="auto"/>
              <w:rPr>
                <w:rFonts w:ascii="仿宋" w:hAnsi="仿宋" w:eastAsia="仿宋"/>
                <w:sz w:val="28"/>
                <w:szCs w:val="28"/>
                <w:lang w:val="zh-CN"/>
              </w:rPr>
            </w:pPr>
          </w:p>
        </w:tc>
        <w:tc>
          <w:tcPr>
            <w:tcW w:w="2775" w:type="dxa"/>
            <w:noWrap w:val="0"/>
            <w:vAlign w:val="top"/>
          </w:tcPr>
          <w:p>
            <w:pPr>
              <w:spacing w:line="360" w:lineRule="auto"/>
              <w:rPr>
                <w:rFonts w:ascii="仿宋" w:hAnsi="仿宋" w:eastAsia="仿宋"/>
                <w:sz w:val="28"/>
                <w:szCs w:val="28"/>
                <w:lang w:val="zh-CN"/>
              </w:rPr>
            </w:pPr>
          </w:p>
        </w:tc>
        <w:tc>
          <w:tcPr>
            <w:tcW w:w="2878" w:type="dxa"/>
            <w:noWrap w:val="0"/>
            <w:vAlign w:val="top"/>
          </w:tcPr>
          <w:p>
            <w:pPr>
              <w:spacing w:line="360" w:lineRule="auto"/>
              <w:rPr>
                <w:rFonts w:ascii="仿宋" w:hAnsi="仿宋" w:eastAsia="仿宋"/>
                <w:sz w:val="28"/>
                <w:szCs w:val="28"/>
                <w:lang w:val="zh-CN"/>
              </w:rPr>
            </w:pPr>
          </w:p>
        </w:tc>
        <w:tc>
          <w:tcPr>
            <w:tcW w:w="2270" w:type="dxa"/>
            <w:noWrap w:val="0"/>
            <w:vAlign w:val="top"/>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noWrap w:val="0"/>
            <w:vAlign w:val="top"/>
          </w:tcPr>
          <w:p>
            <w:pPr>
              <w:spacing w:line="360" w:lineRule="auto"/>
              <w:rPr>
                <w:rFonts w:ascii="仿宋" w:hAnsi="仿宋" w:eastAsia="仿宋"/>
                <w:sz w:val="28"/>
                <w:szCs w:val="28"/>
                <w:lang w:val="zh-CN"/>
              </w:rPr>
            </w:pPr>
          </w:p>
        </w:tc>
        <w:tc>
          <w:tcPr>
            <w:tcW w:w="2775" w:type="dxa"/>
            <w:noWrap w:val="0"/>
            <w:vAlign w:val="top"/>
          </w:tcPr>
          <w:p>
            <w:pPr>
              <w:spacing w:line="360" w:lineRule="auto"/>
              <w:rPr>
                <w:rFonts w:ascii="仿宋" w:hAnsi="仿宋" w:eastAsia="仿宋"/>
                <w:sz w:val="28"/>
                <w:szCs w:val="28"/>
                <w:lang w:val="zh-CN"/>
              </w:rPr>
            </w:pPr>
          </w:p>
        </w:tc>
        <w:tc>
          <w:tcPr>
            <w:tcW w:w="2878" w:type="dxa"/>
            <w:noWrap w:val="0"/>
            <w:vAlign w:val="top"/>
          </w:tcPr>
          <w:p>
            <w:pPr>
              <w:spacing w:line="360" w:lineRule="auto"/>
              <w:rPr>
                <w:rFonts w:ascii="仿宋" w:hAnsi="仿宋" w:eastAsia="仿宋"/>
                <w:sz w:val="28"/>
                <w:szCs w:val="28"/>
                <w:lang w:val="zh-CN"/>
              </w:rPr>
            </w:pPr>
          </w:p>
        </w:tc>
        <w:tc>
          <w:tcPr>
            <w:tcW w:w="2270" w:type="dxa"/>
            <w:noWrap w:val="0"/>
            <w:vAlign w:val="top"/>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noWrap w:val="0"/>
            <w:vAlign w:val="top"/>
          </w:tcPr>
          <w:p>
            <w:pPr>
              <w:tabs>
                <w:tab w:val="left" w:pos="600"/>
              </w:tabs>
              <w:spacing w:line="360" w:lineRule="auto"/>
              <w:rPr>
                <w:rFonts w:ascii="仿宋" w:hAnsi="仿宋" w:eastAsia="仿宋"/>
                <w:sz w:val="28"/>
                <w:szCs w:val="28"/>
                <w:lang w:val="zh-CN"/>
              </w:rPr>
            </w:pPr>
            <w:r>
              <w:rPr>
                <w:rFonts w:ascii="仿宋" w:hAnsi="仿宋" w:eastAsia="仿宋"/>
                <w:sz w:val="28"/>
                <w:szCs w:val="28"/>
                <w:lang w:val="zh-CN"/>
              </w:rPr>
              <w:tab/>
            </w:r>
          </w:p>
        </w:tc>
        <w:tc>
          <w:tcPr>
            <w:tcW w:w="2775" w:type="dxa"/>
            <w:noWrap w:val="0"/>
            <w:vAlign w:val="top"/>
          </w:tcPr>
          <w:p>
            <w:pPr>
              <w:spacing w:line="360" w:lineRule="auto"/>
              <w:rPr>
                <w:rFonts w:ascii="仿宋" w:hAnsi="仿宋" w:eastAsia="仿宋"/>
                <w:sz w:val="28"/>
                <w:szCs w:val="28"/>
                <w:lang w:val="zh-CN"/>
              </w:rPr>
            </w:pPr>
          </w:p>
        </w:tc>
        <w:tc>
          <w:tcPr>
            <w:tcW w:w="2878" w:type="dxa"/>
            <w:noWrap w:val="0"/>
            <w:vAlign w:val="top"/>
          </w:tcPr>
          <w:p>
            <w:pPr>
              <w:spacing w:line="360" w:lineRule="auto"/>
              <w:rPr>
                <w:rFonts w:ascii="仿宋" w:hAnsi="仿宋" w:eastAsia="仿宋"/>
                <w:sz w:val="28"/>
                <w:szCs w:val="28"/>
                <w:lang w:val="zh-CN"/>
              </w:rPr>
            </w:pPr>
          </w:p>
        </w:tc>
        <w:tc>
          <w:tcPr>
            <w:tcW w:w="2270" w:type="dxa"/>
            <w:noWrap w:val="0"/>
            <w:vAlign w:val="top"/>
          </w:tcPr>
          <w:p>
            <w:pPr>
              <w:spacing w:line="360" w:lineRule="auto"/>
              <w:rPr>
                <w:rFonts w:ascii="仿宋" w:hAnsi="仿宋" w:eastAsia="仿宋"/>
                <w:sz w:val="28"/>
                <w:szCs w:val="28"/>
                <w:lang w:val="zh-CN"/>
              </w:rPr>
            </w:pPr>
          </w:p>
        </w:tc>
      </w:tr>
    </w:tbl>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hint="eastAsia" w:ascii="仿宋" w:hAnsi="仿宋" w:eastAsia="仿宋"/>
          <w:b/>
          <w:bCs/>
          <w:color w:val="auto"/>
          <w:sz w:val="28"/>
          <w:szCs w:val="28"/>
          <w:lang w:val="en-US" w:eastAsia="zh-CN"/>
        </w:rPr>
        <w:t>4</w:t>
      </w:r>
      <w:r>
        <w:rPr>
          <w:rFonts w:hint="eastAsia" w:ascii="仿宋" w:hAnsi="仿宋" w:eastAsia="仿宋"/>
          <w:b/>
          <w:bCs/>
          <w:color w:val="auto"/>
          <w:sz w:val="28"/>
          <w:szCs w:val="28"/>
        </w:rPr>
        <w:t>、参与人的资格证明文件</w:t>
      </w:r>
    </w:p>
    <w:p>
      <w:pPr>
        <w:pStyle w:val="56"/>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208" w:name="_Toc267060462"/>
      <w:bookmarkStart w:id="209" w:name="_Toc255975017"/>
      <w:bookmarkStart w:id="210" w:name="_Toc267060077"/>
      <w:bookmarkStart w:id="211" w:name="_Toc251586242"/>
      <w:bookmarkStart w:id="212" w:name="_Toc235438353"/>
      <w:bookmarkStart w:id="213" w:name="_Toc219800250"/>
      <w:bookmarkStart w:id="214" w:name="_Toc258401266"/>
      <w:bookmarkStart w:id="215" w:name="_Toc267060217"/>
      <w:bookmarkStart w:id="216" w:name="_Toc266870442"/>
      <w:bookmarkStart w:id="217" w:name="_Toc259692657"/>
      <w:bookmarkStart w:id="218" w:name="_Toc213756058"/>
      <w:bookmarkStart w:id="219" w:name="_Toc227058537"/>
      <w:bookmarkStart w:id="220" w:name="_Toc249325721"/>
      <w:bookmarkStart w:id="221" w:name="_Toc217891409"/>
      <w:bookmarkStart w:id="222" w:name="_Toc266870917"/>
      <w:bookmarkStart w:id="223" w:name="_Toc259692750"/>
      <w:bookmarkStart w:id="224" w:name="_Toc225669329"/>
      <w:bookmarkStart w:id="225" w:name="_Toc236021458"/>
      <w:bookmarkStart w:id="226" w:name="_Toc259520875"/>
      <w:bookmarkStart w:id="227" w:name="_Toc266868680"/>
      <w:bookmarkStart w:id="228" w:name="_Toc251613840"/>
      <w:bookmarkStart w:id="229" w:name="_Toc235438282"/>
      <w:bookmarkStart w:id="230" w:name="_Toc254790910"/>
      <w:bookmarkStart w:id="231" w:name="_Toc253066625"/>
      <w:bookmarkStart w:id="232" w:name="_Toc223146615"/>
      <w:bookmarkStart w:id="233" w:name="_Toc230071154"/>
      <w:bookmarkStart w:id="234" w:name="_Toc232302123"/>
      <w:bookmarkStart w:id="235" w:name="_Toc235437999"/>
      <w:r>
        <w:rPr>
          <w:rFonts w:hint="eastAsia" w:ascii="仿宋" w:hAnsi="仿宋" w:eastAsia="仿宋"/>
          <w:b/>
          <w:color w:val="auto"/>
          <w:sz w:val="28"/>
          <w:szCs w:val="28"/>
          <w:lang w:val="en-US" w:eastAsia="zh-CN"/>
        </w:rPr>
        <w:t>4</w:t>
      </w:r>
      <w:r>
        <w:rPr>
          <w:rFonts w:hint="eastAsia" w:ascii="仿宋" w:hAnsi="仿宋" w:eastAsia="仿宋"/>
          <w:b/>
          <w:color w:val="auto"/>
          <w:sz w:val="28"/>
          <w:szCs w:val="28"/>
        </w:rPr>
        <w:t>-1关于资格的声明函</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36" w:name="_Hlk511663739"/>
      <w:r>
        <w:rPr>
          <w:rFonts w:hint="eastAsia" w:ascii="仿宋" w:hAnsi="仿宋" w:eastAsia="仿宋"/>
          <w:color w:val="auto"/>
          <w:sz w:val="28"/>
          <w:szCs w:val="28"/>
          <w:lang w:eastAsia="zh-CN"/>
        </w:rPr>
        <w:t>广州大学松田学院</w:t>
      </w:r>
      <w:r>
        <w:rPr>
          <w:rFonts w:hint="eastAsia" w:ascii="仿宋" w:hAnsi="仿宋" w:eastAsia="仿宋"/>
          <w:color w:val="auto"/>
          <w:sz w:val="28"/>
          <w:szCs w:val="28"/>
        </w:rPr>
        <w:t>：</w:t>
      </w:r>
      <w:bookmarkEnd w:id="236"/>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37" w:name="_Toc266870918"/>
      <w:bookmarkStart w:id="238" w:name="_Toc235438283"/>
      <w:bookmarkStart w:id="239" w:name="_Toc254790911"/>
      <w:bookmarkStart w:id="240" w:name="_Toc259692751"/>
      <w:bookmarkStart w:id="241" w:name="_Toc227058538"/>
      <w:bookmarkStart w:id="242" w:name="_Toc251613841"/>
      <w:bookmarkStart w:id="243" w:name="_Toc236021459"/>
      <w:bookmarkStart w:id="244" w:name="_Toc258401267"/>
      <w:bookmarkStart w:id="245" w:name="_Toc225669330"/>
      <w:bookmarkStart w:id="246" w:name="_Toc232302124"/>
      <w:bookmarkStart w:id="247" w:name="_Toc213756059"/>
      <w:bookmarkStart w:id="248" w:name="_Toc259692658"/>
      <w:bookmarkStart w:id="249" w:name="_Toc266870443"/>
      <w:bookmarkStart w:id="250" w:name="_Toc251586243"/>
      <w:bookmarkStart w:id="251" w:name="_Toc219800251"/>
      <w:bookmarkStart w:id="252" w:name="_Toc255975018"/>
      <w:bookmarkStart w:id="253" w:name="_Toc253066626"/>
      <w:bookmarkStart w:id="254" w:name="_Toc217891410"/>
      <w:bookmarkStart w:id="255" w:name="_Toc230071155"/>
      <w:bookmarkStart w:id="256" w:name="_Toc266868681"/>
      <w:bookmarkStart w:id="257" w:name="_Toc223146616"/>
      <w:bookmarkStart w:id="258" w:name="_Toc259520876"/>
      <w:bookmarkStart w:id="259" w:name="_Toc249325722"/>
      <w:bookmarkStart w:id="260" w:name="_Toc235438000"/>
      <w:bookmarkStart w:id="261" w:name="_Toc235438354"/>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jc w:val="center"/>
        <w:outlineLvl w:val="1"/>
        <w:rPr>
          <w:rFonts w:ascii="仿宋" w:hAnsi="仿宋" w:eastAsia="仿宋"/>
          <w:b/>
          <w:color w:val="auto"/>
          <w:sz w:val="28"/>
          <w:szCs w:val="28"/>
        </w:rPr>
      </w:pPr>
      <w:r>
        <w:rPr>
          <w:rFonts w:hint="eastAsia" w:ascii="仿宋" w:hAnsi="仿宋" w:eastAsia="仿宋"/>
          <w:b/>
          <w:color w:val="auto"/>
          <w:sz w:val="28"/>
          <w:szCs w:val="28"/>
          <w:lang w:val="en-US" w:eastAsia="zh-CN"/>
        </w:rPr>
        <w:t>4</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广州大学松田学院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62" w:name="_Toc254790914"/>
      <w:bookmarkStart w:id="263" w:name="_Toc259520879"/>
      <w:bookmarkStart w:id="264" w:name="_Toc266870921"/>
      <w:bookmarkStart w:id="265" w:name="_Toc267060220"/>
      <w:bookmarkStart w:id="266" w:name="_Toc266868684"/>
      <w:bookmarkStart w:id="267" w:name="_Toc267060080"/>
      <w:bookmarkStart w:id="268" w:name="_Toc177985477"/>
      <w:bookmarkStart w:id="269" w:name="_Toc254790916"/>
      <w:bookmarkStart w:id="270" w:name="_Toc267060466"/>
      <w:bookmarkStart w:id="271" w:name="_Toc192996346"/>
      <w:bookmarkStart w:id="272" w:name="_Toc169332846"/>
      <w:bookmarkStart w:id="273" w:name="_Toc235438003"/>
      <w:bookmarkStart w:id="274" w:name="_Toc266870447"/>
      <w:bookmarkStart w:id="275" w:name="_Toc192664161"/>
      <w:bookmarkStart w:id="276" w:name="_Toc259692754"/>
      <w:bookmarkStart w:id="277" w:name="_Toc259692661"/>
      <w:bookmarkStart w:id="278" w:name="_Toc180302921"/>
      <w:bookmarkStart w:id="279" w:name="_Toc192663694"/>
      <w:bookmarkStart w:id="280" w:name="_Toc192663843"/>
      <w:bookmarkStart w:id="281" w:name="_Toc266870446"/>
      <w:bookmarkStart w:id="282" w:name="_Toc267060465"/>
      <w:bookmarkStart w:id="283" w:name="_Toc169332957"/>
      <w:bookmarkStart w:id="284" w:name="_Toc170798801"/>
      <w:bookmarkStart w:id="285" w:name="_Toc193160456"/>
      <w:bookmarkStart w:id="286" w:name="_Toc255975021"/>
      <w:bookmarkStart w:id="287" w:name="_Toc191803634"/>
      <w:bookmarkStart w:id="288" w:name="_Toc192996454"/>
      <w:bookmarkStart w:id="289" w:name="_Toc251586246"/>
      <w:bookmarkStart w:id="290" w:name="_Toc191802698"/>
      <w:bookmarkStart w:id="291" w:name="_Toc258401270"/>
      <w:bookmarkStart w:id="292" w:name="_Toc235438357"/>
      <w:bookmarkStart w:id="293" w:name="_Toc266870922"/>
      <w:bookmarkStart w:id="294" w:name="_Toc266868686"/>
      <w:bookmarkStart w:id="295" w:name="_Toc160880537"/>
      <w:bookmarkStart w:id="296" w:name="_Toc267060081"/>
      <w:bookmarkStart w:id="297" w:name="_Toc193165742"/>
      <w:bookmarkStart w:id="298" w:name="_Toc251613844"/>
      <w:bookmarkStart w:id="299" w:name="_Toc203355741"/>
      <w:bookmarkStart w:id="300" w:name="_Toc181436469"/>
      <w:bookmarkStart w:id="301" w:name="_Toc249325725"/>
      <w:bookmarkStart w:id="302" w:name="_Toc211917124"/>
      <w:bookmarkStart w:id="303" w:name="_Toc259692756"/>
      <w:bookmarkStart w:id="304" w:name="_Toc255975023"/>
      <w:bookmarkStart w:id="305" w:name="_Toc182372790"/>
      <w:bookmarkStart w:id="306" w:name="_Toc259692663"/>
      <w:bookmarkStart w:id="307" w:name="_Toc235438286"/>
      <w:bookmarkStart w:id="308" w:name="_Toc232302127"/>
      <w:bookmarkStart w:id="309" w:name="_Toc259520881"/>
      <w:bookmarkStart w:id="310" w:name="_Toc182805225"/>
      <w:bookmarkStart w:id="311" w:name="_Toc191789337"/>
      <w:bookmarkStart w:id="312" w:name="_Toc236021462"/>
      <w:bookmarkStart w:id="313" w:name="_Toc253066629"/>
      <w:bookmarkStart w:id="314" w:name="_Toc160880168"/>
      <w:bookmarkStart w:id="315" w:name="_Toc267060221"/>
      <w:bookmarkStart w:id="316" w:name="_Toc181436573"/>
      <w:bookmarkStart w:id="317" w:name="_Toc191783230"/>
      <w:bookmarkStart w:id="318" w:name="_Toc258401272"/>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Pr>
        <w:spacing w:after="0" w:line="480" w:lineRule="exact"/>
        <w:ind w:firstLine="570"/>
        <w:jc w:val="center"/>
        <w:rPr>
          <w:rFonts w:ascii="仿宋" w:hAnsi="仿宋" w:eastAsia="仿宋"/>
          <w:b/>
          <w:bCs/>
          <w:color w:val="auto"/>
          <w:sz w:val="28"/>
          <w:szCs w:val="28"/>
        </w:rPr>
      </w:pPr>
      <w:bookmarkStart w:id="319" w:name="_Toc267059187"/>
      <w:bookmarkStart w:id="320" w:name="_Toc273178704"/>
      <w:bookmarkStart w:id="321" w:name="_Toc255975024"/>
      <w:bookmarkStart w:id="322" w:name="_Toc232302128"/>
      <w:bookmarkStart w:id="323" w:name="_Toc259520882"/>
      <w:bookmarkStart w:id="324" w:name="_Toc251613845"/>
      <w:bookmarkStart w:id="325" w:name="_Toc236021463"/>
      <w:bookmarkStart w:id="326" w:name="_Toc235438004"/>
      <w:bookmarkStart w:id="327" w:name="_Toc235438358"/>
      <w:bookmarkStart w:id="328" w:name="_Toc267060327"/>
      <w:bookmarkStart w:id="329" w:name="_Toc254790917"/>
      <w:bookmarkStart w:id="330" w:name="_Toc267059036"/>
      <w:bookmarkStart w:id="331" w:name="_Toc235438287"/>
      <w:bookmarkStart w:id="332" w:name="_Toc266868944"/>
      <w:bookmarkStart w:id="333" w:name="_Toc259692664"/>
      <w:bookmarkStart w:id="334" w:name="_Toc267059659"/>
      <w:bookmarkStart w:id="335" w:name="_Toc266870923"/>
      <w:bookmarkStart w:id="336" w:name="_Toc266870448"/>
      <w:bookmarkStart w:id="337" w:name="_Toc258401273"/>
      <w:bookmarkStart w:id="338" w:name="_Toc267059925"/>
      <w:bookmarkStart w:id="339" w:name="_Toc267060467"/>
      <w:bookmarkStart w:id="340" w:name="_Toc267060082"/>
      <w:bookmarkStart w:id="341" w:name="_Toc267059812"/>
      <w:bookmarkStart w:id="342" w:name="_Toc253066630"/>
      <w:bookmarkStart w:id="343" w:name="_Toc259692757"/>
      <w:bookmarkStart w:id="344" w:name="_Toc249325726"/>
      <w:bookmarkStart w:id="345" w:name="_Toc266868687"/>
      <w:bookmarkStart w:id="346" w:name="_Toc266870840"/>
      <w:bookmarkStart w:id="347" w:name="_Toc251586247"/>
      <w:bookmarkStart w:id="348" w:name="_Toc267059545"/>
      <w:bookmarkStart w:id="349" w:name="_Toc267060222"/>
      <w:r>
        <w:rPr>
          <w:rFonts w:hint="eastAsia" w:ascii="仿宋" w:hAnsi="仿宋" w:eastAsia="仿宋"/>
          <w:b/>
          <w:bCs/>
          <w:color w:val="auto"/>
          <w:sz w:val="28"/>
          <w:szCs w:val="28"/>
          <w:lang w:val="en-US" w:eastAsia="zh-CN"/>
        </w:rPr>
        <w:t>5</w:t>
      </w:r>
      <w:r>
        <w:rPr>
          <w:rFonts w:ascii="仿宋" w:hAnsi="仿宋" w:eastAsia="仿宋"/>
          <w:b/>
          <w:bCs/>
          <w:color w:val="auto"/>
          <w:sz w:val="28"/>
          <w:szCs w:val="28"/>
        </w:rPr>
        <w:t>.</w:t>
      </w:r>
      <w:r>
        <w:rPr>
          <w:rFonts w:hint="eastAsia" w:ascii="仿宋" w:hAnsi="仿宋" w:eastAsia="仿宋"/>
          <w:b/>
          <w:bCs/>
          <w:color w:val="auto"/>
          <w:sz w:val="28"/>
          <w:szCs w:val="28"/>
        </w:rPr>
        <w:t>质保期和售后服务承诺书</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tbl>
      <w:tblPr>
        <w:tblStyle w:val="23"/>
        <w:tblpPr w:leftFromText="180" w:rightFromText="180" w:vertAnchor="text" w:horzAnchor="page" w:tblpX="355" w:tblpY="-9406"/>
        <w:tblOverlap w:val="never"/>
        <w:tblW w:w="11070" w:type="dxa"/>
        <w:tblInd w:w="0" w:type="dxa"/>
        <w:shd w:val="clear" w:color="auto" w:fill="auto"/>
        <w:tblLayout w:type="autofit"/>
        <w:tblCellMar>
          <w:top w:w="0" w:type="dxa"/>
          <w:left w:w="0" w:type="dxa"/>
          <w:bottom w:w="0" w:type="dxa"/>
          <w:right w:w="0" w:type="dxa"/>
        </w:tblCellMar>
      </w:tblPr>
      <w:tblGrid>
        <w:gridCol w:w="794"/>
        <w:gridCol w:w="1329"/>
        <w:gridCol w:w="932"/>
        <w:gridCol w:w="1632"/>
        <w:gridCol w:w="1399"/>
        <w:gridCol w:w="1889"/>
        <w:gridCol w:w="1724"/>
        <w:gridCol w:w="1371"/>
      </w:tblGrid>
      <w:tr>
        <w:tblPrEx>
          <w:shd w:val="clear" w:color="auto" w:fill="auto"/>
          <w:tblCellMar>
            <w:top w:w="0" w:type="dxa"/>
            <w:left w:w="0" w:type="dxa"/>
            <w:bottom w:w="0" w:type="dxa"/>
            <w:right w:w="0" w:type="dxa"/>
          </w:tblCellMar>
        </w:tblPrEx>
        <w:trPr>
          <w:trHeight w:val="1068" w:hRule="atLeast"/>
        </w:trPr>
        <w:tc>
          <w:tcPr>
            <w:tcW w:w="1107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校外进校人员疫情防控排查表</w:t>
            </w:r>
          </w:p>
        </w:tc>
      </w:tr>
      <w:tr>
        <w:tblPrEx>
          <w:shd w:val="clear" w:color="auto" w:fill="auto"/>
          <w:tblCellMar>
            <w:top w:w="0" w:type="dxa"/>
            <w:left w:w="0" w:type="dxa"/>
            <w:bottom w:w="0" w:type="dxa"/>
            <w:right w:w="0" w:type="dxa"/>
          </w:tblCellMar>
        </w:tblPrEx>
        <w:trPr>
          <w:trHeight w:val="822" w:hRule="atLeast"/>
        </w:trPr>
        <w:tc>
          <w:tcPr>
            <w:tcW w:w="1107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单位：              填报人：           联系电话：         进校时间：  年   月   日（上午/下午）                            </w:t>
            </w:r>
          </w:p>
        </w:tc>
      </w:tr>
      <w:tr>
        <w:tblPrEx>
          <w:shd w:val="clear" w:color="auto" w:fill="auto"/>
          <w:tblCellMar>
            <w:top w:w="0" w:type="dxa"/>
            <w:left w:w="0" w:type="dxa"/>
            <w:bottom w:w="0" w:type="dxa"/>
            <w:right w:w="0" w:type="dxa"/>
          </w:tblCellMar>
        </w:tblPrEx>
        <w:trPr>
          <w:trHeight w:val="979"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居住地址</w:t>
            </w:r>
          </w:p>
        </w:tc>
        <w:tc>
          <w:tcPr>
            <w:tcW w:w="1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近期曾到     湖北省</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近期有亲友从湖北            或以外地区来访（注明地区）</w:t>
            </w:r>
          </w:p>
        </w:tc>
        <w:tc>
          <w:tcPr>
            <w:tcW w:w="17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14天内去向          （注明地区）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目前身体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健康状况</w:t>
            </w: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   否</w:t>
            </w:r>
          </w:p>
        </w:tc>
        <w:tc>
          <w:tcPr>
            <w:tcW w:w="188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20" w:hRule="atLeast"/>
        </w:trPr>
        <w:tc>
          <w:tcPr>
            <w:tcW w:w="1107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注：1.人员进入校园须经门卫检测体温，体温正常并经校方许可方可进入施工场所。</w:t>
            </w:r>
          </w:p>
        </w:tc>
      </w:tr>
    </w:tbl>
    <w:p>
      <w:pPr>
        <w:spacing w:line="380" w:lineRule="exact"/>
        <w:rPr>
          <w:rFonts w:ascii="仿宋" w:hAnsi="仿宋" w:eastAsia="仿宋"/>
          <w:sz w:val="28"/>
          <w:szCs w:val="28"/>
        </w:rPr>
      </w:pPr>
      <w:r>
        <w:rPr>
          <w:rFonts w:hint="eastAsia" w:ascii="仿宋" w:hAnsi="仿宋" w:eastAsia="仿宋"/>
          <w:b/>
          <w:bCs/>
          <w:sz w:val="28"/>
          <w:szCs w:val="28"/>
          <w:lang w:val="en-US" w:eastAsia="zh-CN"/>
        </w:rPr>
        <w:t>注：此表须在递交报价响应文件前一天盖章扫描发至公共邮箱</w:t>
      </w:r>
      <w:r>
        <w:rPr>
          <w:rStyle w:val="27"/>
          <w:rFonts w:hint="eastAsia" w:ascii="仿宋" w:hAnsi="仿宋" w:eastAsia="仿宋"/>
          <w:b/>
          <w:bCs/>
          <w:color w:val="auto"/>
          <w:sz w:val="28"/>
          <w:szCs w:val="28"/>
          <w:u w:val="none"/>
        </w:rPr>
        <w:t>sontan@aliyun.com</w:t>
      </w:r>
      <w:r>
        <w:rPr>
          <w:rStyle w:val="27"/>
          <w:rFonts w:hint="eastAsia" w:ascii="仿宋" w:hAnsi="仿宋" w:eastAsia="仿宋"/>
          <w:b/>
          <w:bCs/>
          <w:color w:val="auto"/>
          <w:sz w:val="28"/>
          <w:szCs w:val="28"/>
          <w:u w:val="none"/>
          <w:lang w:eastAsia="zh-CN"/>
        </w:rPr>
        <w:t>。</w:t>
      </w: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rFonts w:hint="eastAsia" w:ascii="仿宋" w:hAnsi="仿宋" w:eastAsia="仿宋" w:cs="仿宋"/>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p>
                          <w:pPr>
                            <w:rPr>
                              <w:rFonts w:hint="eastAsia" w:ascii="仿宋" w:hAnsi="仿宋" w:eastAsia="仿宋" w:cs="仿宋"/>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rFonts w:hint="eastAsia" w:ascii="仿宋" w:hAnsi="仿宋" w:eastAsia="仿宋" w:cs="仿宋"/>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p>
                    <w:pPr>
                      <w:rPr>
                        <w:rFonts w:hint="eastAsia" w:ascii="仿宋" w:hAnsi="仿宋" w:eastAsia="仿宋" w:cs="仿宋"/>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仿宋" w:hAnsi="仿宋" w:eastAsia="仿宋" w:cs="仿宋"/>
                              <w:lang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仿宋" w:hAnsi="仿宋" w:eastAsia="仿宋" w:cs="仿宋"/>
                        <w:lang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2735580</wp:posOffset>
              </wp:positionH>
              <wp:positionV relativeFrom="paragraph">
                <wp:posOffset>38100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4pt;margin-top:3pt;height:144pt;width:144pt;mso-position-horizontal-relative:margin;mso-wrap-style:none;z-index:251660288;mso-width-relative:page;mso-height-relative:page;" filled="f" stroked="f" coordsize="21600,21600" o:gfxdata="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kgga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16"/>
                      <w:jc w:val="cente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b/>
                        <w:bCs/>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297305" cy="383540"/>
          <wp:effectExtent l="0" t="0" r="17145" b="16510"/>
          <wp:docPr id="2" name="图片 2"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1" name="图片 1"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6" name="图片 6"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1CF6F"/>
    <w:multiLevelType w:val="singleLevel"/>
    <w:tmpl w:val="2241CF6F"/>
    <w:lvl w:ilvl="0" w:tentative="0">
      <w:start w:val="2"/>
      <w:numFmt w:val="chineseCounting"/>
      <w:suff w:val="nothing"/>
      <w:lvlText w:val="%1、"/>
      <w:lvlJc w:val="left"/>
      <w:rPr>
        <w:rFonts w:hint="eastAsia"/>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5CD0586"/>
    <w:rsid w:val="1EDF6611"/>
    <w:rsid w:val="58E8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semiHidden/>
    <w:unhideWhenUsed/>
    <w:qFormat/>
    <w:uiPriority w:val="99"/>
    <w:rPr>
      <w:color w:val="0000FF"/>
      <w:u w:val="single"/>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2020-12-25T09:23:06Z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