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eastAsia" w:ascii="仿宋" w:hAnsi="仿宋" w:eastAsia="仿宋" w:cs="仿宋"/>
          <w:b/>
          <w:color w:val="auto"/>
          <w:sz w:val="72"/>
          <w:szCs w:val="72"/>
          <w:lang w:val="en-US" w:eastAsia="zh-CN"/>
        </w:rPr>
      </w:pPr>
      <w:bookmarkStart w:id="0" w:name="_Hlk38472698"/>
      <w:r>
        <w:rPr>
          <w:rFonts w:hint="eastAsia" w:ascii="仿宋" w:hAnsi="仿宋" w:eastAsia="仿宋" w:cs="仿宋"/>
          <w:b/>
          <w:color w:val="auto"/>
          <w:sz w:val="72"/>
          <w:szCs w:val="72"/>
          <w:lang w:val="en-US" w:eastAsia="zh-CN"/>
        </w:rPr>
        <w:t>广州松田职业学院</w:t>
      </w:r>
    </w:p>
    <w:p>
      <w:pPr>
        <w:spacing w:line="1000" w:lineRule="exact"/>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关于学校官网升级改版服务项目</w:t>
      </w:r>
    </w:p>
    <w:bookmarkEnd w:id="0"/>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公</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开</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询</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价</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邀</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请</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函</w:t>
      </w:r>
    </w:p>
    <w:p>
      <w:pPr>
        <w:spacing w:line="500" w:lineRule="exact"/>
        <w:ind w:firstLine="2530" w:firstLineChars="700"/>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rPr>
        <w:t>项目编号：</w:t>
      </w:r>
      <w:r>
        <w:rPr>
          <w:rFonts w:hint="eastAsia" w:ascii="仿宋" w:hAnsi="仿宋" w:eastAsia="仿宋" w:cs="仿宋"/>
          <w:b/>
          <w:color w:val="auto"/>
          <w:sz w:val="36"/>
          <w:szCs w:val="36"/>
          <w:lang w:val="en-US" w:eastAsia="zh-CN"/>
        </w:rPr>
        <w:t>B-XJ2020-20</w:t>
      </w:r>
    </w:p>
    <w:p>
      <w:pPr>
        <w:spacing w:line="500" w:lineRule="exact"/>
        <w:ind w:left="4501" w:leftChars="1141" w:hanging="1991" w:hangingChars="551"/>
        <w:rPr>
          <w:rFonts w:hint="eastAsia" w:ascii="仿宋" w:hAnsi="仿宋" w:eastAsia="仿宋" w:cs="仿宋"/>
          <w:b/>
          <w:color w:val="auto"/>
          <w:sz w:val="36"/>
          <w:szCs w:val="36"/>
          <w:lang w:val="en-US" w:eastAsia="zh-CN"/>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cs="仿宋"/>
          <w:b/>
          <w:color w:val="auto"/>
          <w:sz w:val="36"/>
          <w:szCs w:val="36"/>
        </w:rPr>
        <w:t>项目名称</w:t>
      </w:r>
      <w:bookmarkEnd w:id="1"/>
      <w:bookmarkEnd w:id="2"/>
      <w:bookmarkEnd w:id="3"/>
      <w:r>
        <w:rPr>
          <w:rFonts w:hint="eastAsia" w:ascii="仿宋" w:hAnsi="仿宋" w:eastAsia="仿宋" w:cs="仿宋"/>
          <w:b/>
          <w:color w:val="auto"/>
          <w:sz w:val="36"/>
          <w:szCs w:val="36"/>
        </w:rPr>
        <w:t>：</w:t>
      </w:r>
      <w:bookmarkStart w:id="4" w:name="_Toc160880487"/>
      <w:bookmarkStart w:id="5" w:name="_Toc266868924"/>
      <w:bookmarkStart w:id="6" w:name="_Toc207014580"/>
      <w:bookmarkStart w:id="7" w:name="_Toc212454753"/>
      <w:bookmarkStart w:id="8" w:name="_Toc211937196"/>
      <w:bookmarkStart w:id="9" w:name="_Toc254790852"/>
      <w:bookmarkStart w:id="10" w:name="_Toc267060022"/>
      <w:bookmarkStart w:id="11" w:name="_Toc267059899"/>
      <w:bookmarkStart w:id="12" w:name="_Toc223146565"/>
      <w:bookmarkStart w:id="13" w:name="_Toc267059161"/>
      <w:bookmarkStart w:id="14" w:name="_Toc251586187"/>
      <w:bookmarkStart w:id="15" w:name="_Toc177985424"/>
      <w:bookmarkStart w:id="16" w:name="_Toc259692600"/>
      <w:bookmarkStart w:id="17" w:name="_Toc236021402"/>
      <w:bookmarkStart w:id="18" w:name="_Toc212530253"/>
      <w:bookmarkStart w:id="19" w:name="_Toc235437942"/>
      <w:bookmarkStart w:id="20" w:name="_Toc267059010"/>
      <w:bookmarkStart w:id="21" w:name="_Toc266870861"/>
      <w:bookmarkStart w:id="22" w:name="_Toc259520819"/>
      <w:bookmarkStart w:id="23" w:name="_Toc169332904"/>
      <w:bookmarkStart w:id="24" w:name="_Toc235438297"/>
      <w:bookmarkStart w:id="25" w:name="_Toc266870386"/>
      <w:bookmarkStart w:id="26" w:name="_Toc267059786"/>
      <w:bookmarkStart w:id="27" w:name="_Toc267060162"/>
      <w:bookmarkStart w:id="28" w:name="_Toc212526081"/>
      <w:bookmarkStart w:id="29" w:name="_Toc273178686"/>
      <w:bookmarkStart w:id="30" w:name="_Toc219800200"/>
      <w:bookmarkStart w:id="31" w:name="_Toc249325665"/>
      <w:bookmarkStart w:id="32" w:name="_Toc267060407"/>
      <w:bookmarkStart w:id="33" w:name="_Toc258401210"/>
      <w:bookmarkStart w:id="34" w:name="_Toc251613780"/>
      <w:bookmarkStart w:id="35" w:name="_Toc235438227"/>
      <w:bookmarkStart w:id="36" w:name="_Toc259692693"/>
      <w:bookmarkStart w:id="37" w:name="_Toc267059519"/>
      <w:bookmarkStart w:id="38" w:name="_Toc253066567"/>
      <w:bookmarkStart w:id="39" w:name="_Toc255974963"/>
      <w:bookmarkStart w:id="40" w:name="_Toc267059633"/>
      <w:bookmarkStart w:id="41" w:name="_Toc225669277"/>
      <w:bookmarkStart w:id="42" w:name="_Toc169332794"/>
      <w:bookmarkStart w:id="43" w:name="_Toc212456146"/>
      <w:bookmarkStart w:id="44" w:name="_Toc227058483"/>
      <w:bookmarkStart w:id="45" w:name="_Toc216241307"/>
      <w:bookmarkStart w:id="46" w:name="_Toc266868624"/>
      <w:bookmarkStart w:id="47" w:name="_Toc217891359"/>
      <w:bookmarkStart w:id="48" w:name="_Toc170798743"/>
      <w:r>
        <w:rPr>
          <w:rFonts w:hint="eastAsia" w:ascii="仿宋" w:hAnsi="仿宋" w:eastAsia="仿宋" w:cs="仿宋"/>
          <w:b/>
          <w:color w:val="auto"/>
          <w:sz w:val="36"/>
          <w:szCs w:val="36"/>
          <w:lang w:val="en-US" w:eastAsia="zh-CN"/>
        </w:rPr>
        <w:t>广州松田职业学院关于学校官网升级改版服务项目</w:t>
      </w:r>
    </w:p>
    <w:p>
      <w:pPr>
        <w:pStyle w:val="51"/>
        <w:spacing w:line="360" w:lineRule="auto"/>
        <w:jc w:val="center"/>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cs="仿宋"/>
          <w:b/>
          <w:color w:val="auto"/>
          <w:sz w:val="28"/>
          <w:szCs w:val="28"/>
        </w:rPr>
        <w:t>函</w:t>
      </w:r>
    </w:p>
    <w:p>
      <w:pPr>
        <w:spacing w:after="0" w:line="500" w:lineRule="exact"/>
        <w:ind w:firstLine="480" w:firstLineChars="200"/>
        <w:rPr>
          <w:rFonts w:hint="eastAsia" w:ascii="仿宋" w:hAnsi="仿宋" w:eastAsia="仿宋" w:cs="仿宋"/>
          <w:color w:val="auto"/>
          <w:sz w:val="24"/>
          <w:szCs w:val="24"/>
        </w:rPr>
      </w:pPr>
      <w:bookmarkStart w:id="49" w:name="_Hlk10840310"/>
      <w:r>
        <w:rPr>
          <w:rFonts w:hint="eastAsia" w:ascii="仿宋" w:hAnsi="仿宋" w:eastAsia="仿宋" w:cs="仿宋"/>
          <w:color w:val="auto"/>
          <w:sz w:val="24"/>
          <w:szCs w:val="24"/>
        </w:rPr>
        <w:t>广州松田职业学院是一所经</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广东省人民政府</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批准、</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教育部</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备案的全日制普通高等职业学院，是中国教育集团（港股代码：00839）旗下的高校。根据需要，对</w:t>
      </w:r>
      <w:r>
        <w:rPr>
          <w:rFonts w:hint="eastAsia" w:ascii="仿宋" w:hAnsi="仿宋" w:eastAsia="仿宋" w:cs="仿宋"/>
          <w:color w:val="auto"/>
          <w:sz w:val="24"/>
          <w:szCs w:val="24"/>
          <w:lang w:val="en-US" w:eastAsia="zh-CN"/>
        </w:rPr>
        <w:t>学校官网升级改版服务项目</w:t>
      </w:r>
      <w:r>
        <w:rPr>
          <w:rFonts w:hint="eastAsia" w:ascii="仿宋" w:hAnsi="仿宋" w:eastAsia="仿宋" w:cs="仿宋"/>
          <w:color w:val="auto"/>
          <w:sz w:val="24"/>
          <w:szCs w:val="24"/>
        </w:rPr>
        <w:t>进行公开询价，欢迎国内合格参与人参与。</w:t>
      </w:r>
    </w:p>
    <w:p>
      <w:pPr>
        <w:spacing w:after="0" w:line="500" w:lineRule="exact"/>
        <w:ind w:firstLine="364" w:firstLineChars="152"/>
        <w:jc w:val="left"/>
        <w:rPr>
          <w:rFonts w:hint="eastAsia" w:ascii="仿宋" w:hAnsi="仿宋" w:eastAsia="仿宋" w:cs="仿宋"/>
          <w:color w:val="auto"/>
          <w:sz w:val="24"/>
          <w:szCs w:val="24"/>
        </w:rPr>
      </w:pPr>
      <w:r>
        <w:rPr>
          <w:rFonts w:hint="eastAsia" w:ascii="仿宋" w:hAnsi="仿宋" w:eastAsia="仿宋" w:cs="仿宋"/>
          <w:color w:val="auto"/>
          <w:sz w:val="24"/>
          <w:szCs w:val="24"/>
        </w:rPr>
        <w:t>一、项目说明</w:t>
      </w:r>
    </w:p>
    <w:p>
      <w:pPr>
        <w:widowControl w:val="0"/>
        <w:numPr>
          <w:ilvl w:val="1"/>
          <w:numId w:val="1"/>
        </w:numPr>
        <w:spacing w:after="0"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B-XJ2020-19</w:t>
      </w:r>
    </w:p>
    <w:p>
      <w:pPr>
        <w:widowControl w:val="0"/>
        <w:numPr>
          <w:ilvl w:val="1"/>
          <w:numId w:val="1"/>
        </w:numPr>
        <w:spacing w:after="0"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val="en-US" w:eastAsia="zh-CN"/>
        </w:rPr>
        <w:t>广州松田职业学院关于学校官网升级改版服务项目</w:t>
      </w:r>
    </w:p>
    <w:p>
      <w:pPr>
        <w:widowControl w:val="0"/>
        <w:numPr>
          <w:ilvl w:val="1"/>
          <w:numId w:val="1"/>
        </w:numPr>
        <w:spacing w:after="0"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数量及主要技术要求:详见《公开询价货物一览表》。</w:t>
      </w:r>
    </w:p>
    <w:p>
      <w:pPr>
        <w:widowControl w:val="0"/>
        <w:numPr>
          <w:ilvl w:val="1"/>
          <w:numId w:val="1"/>
        </w:numPr>
        <w:spacing w:after="0"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参与人资格标准：</w:t>
      </w:r>
    </w:p>
    <w:p>
      <w:pPr>
        <w:spacing w:after="0" w:line="500" w:lineRule="exact"/>
        <w:ind w:left="1310" w:leftChars="322" w:hanging="602" w:hangingChars="251"/>
        <w:jc w:val="left"/>
        <w:rPr>
          <w:rFonts w:hint="eastAsia" w:ascii="仿宋" w:hAnsi="仿宋" w:eastAsia="仿宋" w:cs="仿宋"/>
          <w:color w:val="auto"/>
          <w:sz w:val="24"/>
          <w:szCs w:val="24"/>
        </w:rPr>
      </w:pPr>
      <w:r>
        <w:rPr>
          <w:rFonts w:hint="eastAsia" w:ascii="仿宋" w:hAnsi="仿宋" w:eastAsia="仿宋" w:cs="仿宋"/>
          <w:color w:val="auto"/>
          <w:sz w:val="24"/>
          <w:szCs w:val="24"/>
        </w:rPr>
        <w:t>（1）参与人应具有独立法人资格，注册资金不少于人民币</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万（含</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万）的生产厂商或授权代理商。</w:t>
      </w:r>
    </w:p>
    <w:p>
      <w:pPr>
        <w:spacing w:after="0" w:line="500" w:lineRule="exact"/>
        <w:ind w:left="1310" w:leftChars="322" w:hanging="602" w:hangingChars="251"/>
        <w:jc w:val="left"/>
        <w:rPr>
          <w:rFonts w:hint="eastAsia" w:ascii="仿宋" w:hAnsi="仿宋" w:eastAsia="仿宋" w:cs="仿宋"/>
          <w:color w:val="auto"/>
          <w:sz w:val="24"/>
          <w:szCs w:val="24"/>
        </w:rPr>
      </w:pPr>
      <w:r>
        <w:rPr>
          <w:rFonts w:hint="eastAsia" w:ascii="仿宋" w:hAnsi="仿宋" w:eastAsia="仿宋" w:cs="仿宋"/>
          <w:color w:val="auto"/>
          <w:sz w:val="24"/>
          <w:szCs w:val="24"/>
        </w:rPr>
        <w:t>（2）参与人应具有提供设备和服务的资格及能力。在</w:t>
      </w:r>
      <w:r>
        <w:rPr>
          <w:rFonts w:hint="eastAsia" w:ascii="仿宋" w:hAnsi="仿宋" w:eastAsia="仿宋" w:cs="仿宋"/>
          <w:color w:val="auto"/>
          <w:sz w:val="24"/>
          <w:szCs w:val="24"/>
          <w:lang w:val="en-US" w:eastAsia="zh-CN"/>
        </w:rPr>
        <w:t>广州</w:t>
      </w:r>
      <w:r>
        <w:rPr>
          <w:rFonts w:hint="eastAsia" w:ascii="仿宋" w:hAnsi="仿宋" w:eastAsia="仿宋" w:cs="仿宋"/>
          <w:color w:val="auto"/>
          <w:sz w:val="24"/>
          <w:szCs w:val="24"/>
        </w:rPr>
        <w:t>市范围有固定售后服务机构，具备相应的维护保养能力。</w:t>
      </w:r>
    </w:p>
    <w:p>
      <w:pPr>
        <w:spacing w:after="0" w:line="500" w:lineRule="exact"/>
        <w:ind w:left="1070" w:leftChars="322" w:hanging="362" w:hangingChars="151"/>
        <w:jc w:val="left"/>
        <w:rPr>
          <w:rFonts w:hint="eastAsia" w:ascii="仿宋" w:hAnsi="仿宋" w:eastAsia="仿宋" w:cs="仿宋"/>
          <w:color w:val="auto"/>
          <w:sz w:val="24"/>
          <w:szCs w:val="24"/>
        </w:rPr>
      </w:pPr>
      <w:r>
        <w:rPr>
          <w:rFonts w:hint="eastAsia" w:ascii="仿宋" w:hAnsi="仿宋" w:eastAsia="仿宋" w:cs="仿宋"/>
          <w:color w:val="auto"/>
          <w:sz w:val="24"/>
          <w:szCs w:val="24"/>
        </w:rPr>
        <w:t>（3）参与人应遵守中国的有关法律、法规和规章的规定。</w:t>
      </w:r>
    </w:p>
    <w:p>
      <w:pPr>
        <w:spacing w:after="0" w:line="500" w:lineRule="exact"/>
        <w:ind w:left="1310" w:leftChars="322" w:hanging="602" w:hangingChars="251"/>
        <w:jc w:val="left"/>
        <w:rPr>
          <w:rFonts w:hint="eastAsia" w:ascii="仿宋" w:hAnsi="仿宋" w:eastAsia="仿宋" w:cs="仿宋"/>
          <w:color w:val="auto"/>
          <w:sz w:val="24"/>
          <w:szCs w:val="24"/>
        </w:rPr>
      </w:pPr>
      <w:r>
        <w:rPr>
          <w:rFonts w:hint="eastAsia" w:ascii="仿宋" w:hAnsi="仿宋" w:eastAsia="仿宋" w:cs="仿宋"/>
          <w:color w:val="auto"/>
          <w:sz w:val="24"/>
          <w:szCs w:val="24"/>
        </w:rPr>
        <w:t>（4）参与人具有</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年以上（包括</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个以上同类项目销售和良好的售后服务应用成功案例,近三年未发生重大安全或质量事故。</w:t>
      </w:r>
    </w:p>
    <w:p>
      <w:pPr>
        <w:spacing w:after="0" w:line="500" w:lineRule="exact"/>
        <w:ind w:left="1070" w:leftChars="322" w:hanging="362" w:hangingChars="151"/>
        <w:jc w:val="left"/>
        <w:rPr>
          <w:rFonts w:hint="eastAsia" w:ascii="仿宋" w:hAnsi="仿宋" w:eastAsia="仿宋" w:cs="仿宋"/>
          <w:color w:val="auto"/>
          <w:sz w:val="24"/>
          <w:szCs w:val="24"/>
        </w:rPr>
      </w:pPr>
      <w:r>
        <w:rPr>
          <w:rFonts w:hint="eastAsia" w:ascii="仿宋" w:hAnsi="仿宋" w:eastAsia="仿宋" w:cs="仿宋"/>
          <w:color w:val="auto"/>
          <w:sz w:val="24"/>
          <w:szCs w:val="24"/>
        </w:rPr>
        <w:t>（5）参与人须有良好的商业信誉和健全的财务制度。</w:t>
      </w:r>
    </w:p>
    <w:p>
      <w:pPr>
        <w:spacing w:after="0" w:line="500" w:lineRule="exact"/>
        <w:ind w:left="1070" w:leftChars="322" w:hanging="362" w:hangingChars="151"/>
        <w:jc w:val="left"/>
        <w:rPr>
          <w:rFonts w:hint="eastAsia" w:ascii="仿宋" w:hAnsi="仿宋" w:eastAsia="仿宋" w:cs="仿宋"/>
          <w:color w:val="auto"/>
          <w:sz w:val="24"/>
          <w:szCs w:val="24"/>
        </w:rPr>
      </w:pPr>
      <w:r>
        <w:rPr>
          <w:rFonts w:hint="eastAsia" w:ascii="仿宋" w:hAnsi="仿宋" w:eastAsia="仿宋" w:cs="仿宋"/>
          <w:color w:val="auto"/>
          <w:sz w:val="24"/>
          <w:szCs w:val="24"/>
        </w:rPr>
        <w:t>（6）参与人有依法缴纳税金和社会保障资金的良好记录。</w:t>
      </w:r>
    </w:p>
    <w:p>
      <w:pPr>
        <w:widowControl w:val="0"/>
        <w:numPr>
          <w:ilvl w:val="1"/>
          <w:numId w:val="1"/>
        </w:numPr>
        <w:spacing w:after="0" w:line="50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rPr>
        <w:t>报价响应文件递交方式：密封报价并</w:t>
      </w:r>
      <w:r>
        <w:rPr>
          <w:rFonts w:hint="eastAsia" w:ascii="仿宋" w:hAnsi="仿宋" w:eastAsia="仿宋" w:cs="仿宋"/>
          <w:color w:val="auto"/>
          <w:sz w:val="24"/>
          <w:szCs w:val="24"/>
          <w:lang w:val="en-US" w:eastAsia="zh-CN"/>
        </w:rPr>
        <w:t>现场递交</w:t>
      </w:r>
      <w:r>
        <w:rPr>
          <w:rFonts w:hint="eastAsia" w:ascii="仿宋" w:hAnsi="仿宋" w:eastAsia="仿宋" w:cs="仿宋"/>
          <w:color w:val="auto"/>
          <w:sz w:val="24"/>
          <w:szCs w:val="24"/>
        </w:rPr>
        <w:t>。</w:t>
      </w:r>
    </w:p>
    <w:p>
      <w:pPr>
        <w:widowControl w:val="0"/>
        <w:numPr>
          <w:ilvl w:val="1"/>
          <w:numId w:val="1"/>
        </w:numPr>
        <w:spacing w:after="0" w:line="50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rPr>
        <w:t>报价响应文件递交截止时间</w:t>
      </w:r>
      <w:r>
        <w:rPr>
          <w:rFonts w:hint="eastAsia" w:ascii="仿宋" w:hAnsi="仿宋" w:eastAsia="仿宋" w:cs="仿宋"/>
          <w:color w:val="auto"/>
          <w:sz w:val="24"/>
          <w:szCs w:val="24"/>
          <w:shd w:val="clear" w:color="auto" w:fill="FFFFFF"/>
        </w:rPr>
        <w:t>：</w:t>
      </w:r>
      <w:r>
        <w:rPr>
          <w:rFonts w:hint="eastAsia" w:ascii="仿宋" w:hAnsi="仿宋" w:eastAsia="仿宋" w:cs="仿宋"/>
          <w:b/>
          <w:bCs/>
          <w:color w:val="auto"/>
          <w:sz w:val="24"/>
          <w:szCs w:val="24"/>
          <w:shd w:val="clear" w:color="auto" w:fill="FFFFFF"/>
        </w:rPr>
        <w:t>20</w:t>
      </w:r>
      <w:r>
        <w:rPr>
          <w:rFonts w:hint="eastAsia" w:ascii="仿宋" w:hAnsi="仿宋" w:eastAsia="仿宋" w:cs="仿宋"/>
          <w:b/>
          <w:bCs/>
          <w:color w:val="auto"/>
          <w:sz w:val="24"/>
          <w:szCs w:val="24"/>
          <w:shd w:val="clear" w:color="auto" w:fill="FFFFFF"/>
          <w:lang w:val="en-US" w:eastAsia="zh-CN"/>
        </w:rPr>
        <w:t>20</w:t>
      </w:r>
      <w:r>
        <w:rPr>
          <w:rFonts w:hint="eastAsia" w:ascii="仿宋" w:hAnsi="仿宋" w:eastAsia="仿宋" w:cs="仿宋"/>
          <w:b/>
          <w:bCs/>
          <w:color w:val="auto"/>
          <w:sz w:val="24"/>
          <w:szCs w:val="24"/>
          <w:shd w:val="clear" w:color="auto" w:fill="FFFFFF"/>
        </w:rPr>
        <w:t>年</w:t>
      </w:r>
      <w:r>
        <w:rPr>
          <w:rFonts w:hint="eastAsia" w:ascii="仿宋" w:hAnsi="仿宋" w:eastAsia="仿宋" w:cs="仿宋"/>
          <w:b/>
          <w:bCs/>
          <w:color w:val="auto"/>
          <w:sz w:val="24"/>
          <w:szCs w:val="24"/>
          <w:shd w:val="clear" w:color="auto" w:fill="FFFFFF"/>
          <w:lang w:val="en-US" w:eastAsia="zh-CN"/>
        </w:rPr>
        <w:t>12</w:t>
      </w:r>
      <w:r>
        <w:rPr>
          <w:rFonts w:hint="eastAsia" w:ascii="仿宋" w:hAnsi="仿宋" w:eastAsia="仿宋" w:cs="仿宋"/>
          <w:b/>
          <w:bCs/>
          <w:color w:val="auto"/>
          <w:sz w:val="24"/>
          <w:szCs w:val="24"/>
          <w:shd w:val="clear" w:color="auto" w:fill="FFFFFF"/>
        </w:rPr>
        <w:t>月</w:t>
      </w:r>
      <w:r>
        <w:rPr>
          <w:rFonts w:hint="eastAsia" w:ascii="仿宋" w:hAnsi="仿宋" w:eastAsia="仿宋" w:cs="仿宋"/>
          <w:b/>
          <w:bCs/>
          <w:color w:val="auto"/>
          <w:sz w:val="24"/>
          <w:szCs w:val="24"/>
          <w:shd w:val="clear" w:color="auto" w:fill="FFFFFF"/>
          <w:lang w:val="en-US" w:eastAsia="zh-CN"/>
        </w:rPr>
        <w:t>31</w:t>
      </w:r>
      <w:r>
        <w:rPr>
          <w:rFonts w:hint="eastAsia" w:ascii="仿宋" w:hAnsi="仿宋" w:eastAsia="仿宋" w:cs="仿宋"/>
          <w:b/>
          <w:bCs/>
          <w:color w:val="auto"/>
          <w:sz w:val="24"/>
          <w:szCs w:val="24"/>
          <w:shd w:val="clear" w:color="auto" w:fill="FFFFFF"/>
        </w:rPr>
        <w:t>日</w:t>
      </w:r>
      <w:r>
        <w:rPr>
          <w:rFonts w:hint="eastAsia" w:ascii="仿宋" w:hAnsi="仿宋" w:eastAsia="仿宋" w:cs="仿宋"/>
          <w:b/>
          <w:bCs/>
          <w:color w:val="auto"/>
          <w:sz w:val="24"/>
          <w:szCs w:val="24"/>
          <w:shd w:val="clear" w:color="auto" w:fill="FFFFFF"/>
          <w:lang w:val="en-US" w:eastAsia="zh-CN"/>
        </w:rPr>
        <w:t>上午11点</w:t>
      </w:r>
      <w:r>
        <w:rPr>
          <w:rFonts w:hint="eastAsia" w:ascii="仿宋" w:hAnsi="仿宋" w:eastAsia="仿宋" w:cs="仿宋"/>
          <w:b/>
          <w:bCs/>
          <w:color w:val="auto"/>
          <w:sz w:val="24"/>
          <w:szCs w:val="24"/>
          <w:shd w:val="clear" w:color="auto" w:fill="FFFFFF"/>
        </w:rPr>
        <w:t>前</w:t>
      </w:r>
      <w:r>
        <w:rPr>
          <w:rFonts w:hint="eastAsia" w:ascii="仿宋" w:hAnsi="仿宋" w:eastAsia="仿宋" w:cs="仿宋"/>
          <w:color w:val="auto"/>
          <w:sz w:val="24"/>
          <w:szCs w:val="24"/>
          <w:shd w:val="clear" w:color="auto" w:fill="FFFFFF"/>
        </w:rPr>
        <w:t>。</w:t>
      </w:r>
    </w:p>
    <w:p>
      <w:pPr>
        <w:spacing w:after="0" w:line="5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 报价响应文件递交地点：广州市增城区朱村街朱村大道东432号</w:t>
      </w:r>
      <w:r>
        <w:rPr>
          <w:rFonts w:hint="eastAsia" w:ascii="仿宋" w:hAnsi="仿宋" w:eastAsia="仿宋" w:cs="仿宋"/>
          <w:color w:val="auto"/>
          <w:sz w:val="24"/>
          <w:szCs w:val="24"/>
          <w:lang w:eastAsia="zh-CN"/>
        </w:rPr>
        <w:t>广州松田职业学院</w:t>
      </w:r>
      <w:r>
        <w:rPr>
          <w:rFonts w:hint="eastAsia" w:ascii="仿宋" w:hAnsi="仿宋" w:eastAsia="仿宋" w:cs="仿宋"/>
          <w:color w:val="auto"/>
          <w:sz w:val="24"/>
          <w:szCs w:val="24"/>
        </w:rPr>
        <w:t>资产与采购处</w:t>
      </w:r>
      <w:r>
        <w:rPr>
          <w:rFonts w:hint="eastAsia" w:ascii="仿宋" w:hAnsi="仿宋" w:eastAsia="仿宋" w:cs="仿宋"/>
          <w:color w:val="auto"/>
          <w:sz w:val="24"/>
          <w:szCs w:val="24"/>
          <w:lang w:val="en-US" w:eastAsia="zh-CN"/>
        </w:rPr>
        <w:t>办公室</w:t>
      </w:r>
      <w:r>
        <w:rPr>
          <w:rFonts w:hint="eastAsia" w:ascii="仿宋" w:hAnsi="仿宋" w:eastAsia="仿宋" w:cs="仿宋"/>
          <w:color w:val="auto"/>
          <w:sz w:val="24"/>
          <w:szCs w:val="24"/>
        </w:rPr>
        <w:t>。</w:t>
      </w:r>
      <w:bookmarkStart w:id="330" w:name="_GoBack"/>
      <w:bookmarkEnd w:id="330"/>
    </w:p>
    <w:p>
      <w:pPr>
        <w:spacing w:after="0" w:line="500" w:lineRule="exact"/>
        <w:ind w:left="839"/>
        <w:rPr>
          <w:rFonts w:hint="eastAsia" w:ascii="仿宋" w:hAnsi="仿宋" w:eastAsia="仿宋" w:cs="仿宋"/>
          <w:color w:val="auto"/>
          <w:sz w:val="24"/>
          <w:szCs w:val="24"/>
          <w:u w:val="single"/>
        </w:rPr>
      </w:pPr>
      <w:r>
        <w:rPr>
          <w:rFonts w:hint="eastAsia" w:ascii="仿宋" w:hAnsi="仿宋" w:eastAsia="仿宋" w:cs="仿宋"/>
          <w:color w:val="auto"/>
          <w:sz w:val="24"/>
          <w:szCs w:val="24"/>
        </w:rPr>
        <w:t>联系人：</w:t>
      </w:r>
      <w:r>
        <w:rPr>
          <w:rFonts w:hint="eastAsia" w:ascii="仿宋" w:hAnsi="仿宋" w:eastAsia="仿宋" w:cs="仿宋"/>
          <w:color w:val="auto"/>
          <w:sz w:val="24"/>
          <w:szCs w:val="24"/>
          <w:u w:val="single"/>
          <w:lang w:val="en-US" w:eastAsia="zh-CN"/>
        </w:rPr>
        <w:t>吴谷芬</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020-82852717</w:t>
      </w:r>
    </w:p>
    <w:p>
      <w:pPr>
        <w:spacing w:after="0" w:line="500" w:lineRule="exact"/>
        <w:ind w:left="839"/>
        <w:rPr>
          <w:rFonts w:hint="eastAsia" w:ascii="仿宋" w:hAnsi="仿宋" w:eastAsia="仿宋" w:cs="仿宋"/>
          <w:b/>
          <w:bCs/>
          <w:color w:val="auto"/>
          <w:sz w:val="24"/>
          <w:szCs w:val="24"/>
          <w:u w:val="none"/>
        </w:rPr>
      </w:pPr>
      <w:r>
        <w:rPr>
          <w:rFonts w:hint="eastAsia" w:ascii="仿宋" w:hAnsi="仿宋" w:eastAsia="仿宋" w:cs="仿宋"/>
          <w:b/>
          <w:bCs/>
          <w:color w:val="auto"/>
          <w:sz w:val="24"/>
          <w:szCs w:val="24"/>
          <w:u w:val="none"/>
        </w:rPr>
        <w:t>本项目监督投诉电话</w:t>
      </w: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rPr>
        <w:t>门树亮 13133833090</w:t>
      </w:r>
    </w:p>
    <w:p>
      <w:pPr>
        <w:spacing w:after="0" w:line="500" w:lineRule="exact"/>
        <w:ind w:left="839"/>
        <w:rPr>
          <w:rFonts w:hint="eastAsia" w:ascii="仿宋" w:hAnsi="仿宋" w:eastAsia="仿宋" w:cs="仿宋"/>
          <w:b/>
          <w:bCs/>
          <w:color w:val="auto"/>
          <w:sz w:val="24"/>
          <w:szCs w:val="24"/>
          <w:u w:val="none"/>
        </w:rPr>
      </w:pPr>
      <w:r>
        <w:rPr>
          <w:rFonts w:hint="eastAsia" w:ascii="仿宋" w:hAnsi="仿宋" w:eastAsia="仿宋" w:cs="仿宋"/>
          <w:b/>
          <w:bCs/>
          <w:color w:val="auto"/>
          <w:sz w:val="24"/>
          <w:szCs w:val="24"/>
          <w:u w:val="none"/>
        </w:rPr>
        <w:t>本项目最终成交结果会在中教集团后勤贤知平台“中标信息公示”板块公示，网址：www.ceghqxz.com</w:t>
      </w:r>
    </w:p>
    <w:p>
      <w:pPr>
        <w:spacing w:after="0" w:line="500" w:lineRule="exact"/>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二、参与人须知</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1. 所有货物均以人民币报价；</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2. 报价响应文件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份，报价响应文件必须用A4幅面纸张打印，须由参与人填写并加盖公章（正本</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3. 报价响应文件用不退色墨水书写或打印，因字迹潦草或表达不清所引起的后果由参与人自负；</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4. </w:t>
      </w:r>
      <w:r>
        <w:rPr>
          <w:rFonts w:hint="eastAsia" w:ascii="仿宋" w:hAnsi="仿宋" w:eastAsia="仿宋" w:cs="仿宋"/>
          <w:b/>
          <w:bCs/>
          <w:color w:val="auto"/>
          <w:sz w:val="24"/>
          <w:szCs w:val="24"/>
        </w:rPr>
        <w:t>报价响应文件及所有相关资料需同时进行密封处理，并在密封处加盖公章，未做密封处理及未加盖公章的视为无效报价；</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5. 一个参与人只能提交一个报价响应文件。但如果参与人之间存在下列互为关联关系情形之一的，不得同时参加本项目报价：</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(1) 法定代表人为同一人的两个及两个以上法人；</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(2) 母公司、直接或间接持股50％及以上的被投资公司;</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(3) 均为同一家母公司直接或间接持股50％及以上的被投资公司。</w:t>
      </w:r>
    </w:p>
    <w:p>
      <w:pPr>
        <w:spacing w:after="0" w:line="500" w:lineRule="exact"/>
        <w:ind w:firstLine="364" w:firstLineChars="152"/>
        <w:jc w:val="left"/>
        <w:rPr>
          <w:rFonts w:hint="eastAsia" w:ascii="仿宋" w:hAnsi="仿宋" w:eastAsia="仿宋" w:cs="仿宋"/>
          <w:color w:val="auto"/>
          <w:sz w:val="24"/>
          <w:szCs w:val="24"/>
        </w:rPr>
      </w:pPr>
      <w:r>
        <w:rPr>
          <w:rFonts w:hint="eastAsia" w:ascii="仿宋" w:hAnsi="仿宋" w:eastAsia="仿宋" w:cs="仿宋"/>
          <w:color w:val="auto"/>
          <w:sz w:val="24"/>
          <w:szCs w:val="24"/>
        </w:rPr>
        <w:t>三、售后服务要求</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1. 免费保修期；</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2. 应急维修时间安排；</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3. 培训计划及人员安排；</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4. 维修地点、地址、联系电话及联系人员；</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5. 维修服务收费标准；</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6. 主要零配件及易耗品价格；</w:t>
      </w:r>
    </w:p>
    <w:p>
      <w:pPr>
        <w:widowControl w:val="0"/>
        <w:spacing w:after="0" w:line="500" w:lineRule="exact"/>
        <w:ind w:left="426"/>
        <w:jc w:val="left"/>
        <w:rPr>
          <w:rFonts w:hint="eastAsia" w:ascii="仿宋" w:hAnsi="仿宋" w:eastAsia="仿宋" w:cs="仿宋"/>
          <w:color w:val="auto"/>
          <w:sz w:val="24"/>
          <w:szCs w:val="24"/>
        </w:rPr>
      </w:pPr>
      <w:r>
        <w:rPr>
          <w:rFonts w:hint="eastAsia" w:ascii="仿宋" w:hAnsi="仿宋" w:eastAsia="仿宋" w:cs="仿宋"/>
          <w:color w:val="auto"/>
          <w:sz w:val="24"/>
          <w:szCs w:val="24"/>
        </w:rPr>
        <w:t>7. 制造商的技术支持；</w:t>
      </w:r>
    </w:p>
    <w:p>
      <w:pPr>
        <w:spacing w:after="0" w:line="500" w:lineRule="exact"/>
        <w:ind w:firstLine="364" w:firstLineChars="152"/>
        <w:jc w:val="left"/>
        <w:rPr>
          <w:rFonts w:hint="eastAsia" w:ascii="仿宋" w:hAnsi="仿宋" w:eastAsia="仿宋" w:cs="仿宋"/>
          <w:color w:val="auto"/>
          <w:sz w:val="24"/>
          <w:szCs w:val="24"/>
        </w:rPr>
      </w:pPr>
      <w:r>
        <w:rPr>
          <w:rFonts w:hint="eastAsia" w:ascii="仿宋" w:hAnsi="仿宋" w:eastAsia="仿宋" w:cs="仿宋"/>
          <w:color w:val="auto"/>
          <w:sz w:val="24"/>
          <w:szCs w:val="24"/>
        </w:rPr>
        <w:t>四、确定成交参与人标准及原则：</w:t>
      </w:r>
    </w:p>
    <w:p>
      <w:pPr>
        <w:widowControl w:val="0"/>
        <w:spacing w:after="0" w:line="500" w:lineRule="exact"/>
        <w:ind w:left="426"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所投设备符合采购需求、质量和服务要求,经过磋商所报价格为合理价格的参与人为成交参与人，最低报价不作为成交的保证。</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pStyle w:val="51"/>
        <w:numPr>
          <w:ilvl w:val="0"/>
          <w:numId w:val="2"/>
        </w:numPr>
        <w:spacing w:line="360" w:lineRule="auto"/>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公开询价货物一览表</w:t>
      </w:r>
      <w:bookmarkEnd w:id="49"/>
    </w:p>
    <w:p>
      <w:pPr>
        <w:pStyle w:val="51"/>
        <w:numPr>
          <w:ilvl w:val="0"/>
          <w:numId w:val="0"/>
        </w:numPr>
        <w:spacing w:line="360" w:lineRule="auto"/>
        <w:jc w:val="right"/>
        <w:outlineLvl w:val="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单位：元</w:t>
      </w:r>
    </w:p>
    <w:tbl>
      <w:tblPr>
        <w:tblStyle w:val="23"/>
        <w:tblW w:w="9360" w:type="dxa"/>
        <w:tblInd w:w="135" w:type="dxa"/>
        <w:tblLayout w:type="fixed"/>
        <w:tblCellMar>
          <w:top w:w="0" w:type="dxa"/>
          <w:left w:w="108" w:type="dxa"/>
          <w:bottom w:w="0" w:type="dxa"/>
          <w:right w:w="108" w:type="dxa"/>
        </w:tblCellMar>
      </w:tblPr>
      <w:tblGrid>
        <w:gridCol w:w="840"/>
        <w:gridCol w:w="2220"/>
        <w:gridCol w:w="2070"/>
        <w:gridCol w:w="750"/>
        <w:gridCol w:w="756"/>
        <w:gridCol w:w="890"/>
        <w:gridCol w:w="968"/>
        <w:gridCol w:w="866"/>
      </w:tblGrid>
      <w:tr>
        <w:tblPrEx>
          <w:tblCellMar>
            <w:top w:w="0" w:type="dxa"/>
            <w:left w:w="108" w:type="dxa"/>
            <w:bottom w:w="0" w:type="dxa"/>
            <w:right w:w="108" w:type="dxa"/>
          </w:tblCellMar>
        </w:tblPrEx>
        <w:trPr>
          <w:trHeight w:val="285" w:hRule="atLeast"/>
        </w:trPr>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2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07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详细参数</w:t>
            </w: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w:t>
            </w: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金额</w:t>
            </w:r>
          </w:p>
        </w:tc>
        <w:tc>
          <w:tcPr>
            <w:tcW w:w="86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备注</w:t>
            </w:r>
          </w:p>
        </w:tc>
      </w:tr>
      <w:tr>
        <w:tblPrEx>
          <w:tblCellMar>
            <w:top w:w="0" w:type="dxa"/>
            <w:left w:w="108" w:type="dxa"/>
            <w:bottom w:w="0" w:type="dxa"/>
            <w:right w:w="108" w:type="dxa"/>
          </w:tblCellMar>
        </w:tblPrEx>
        <w:trPr>
          <w:trHeight w:val="1004" w:hRule="atLeast"/>
        </w:trPr>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220"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学校官网改造服务</w:t>
            </w:r>
          </w:p>
        </w:tc>
        <w:tc>
          <w:tcPr>
            <w:tcW w:w="2070"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详见附件</w:t>
            </w: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1</w:t>
            </w: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项</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81" w:hRule="atLeast"/>
        </w:trPr>
        <w:tc>
          <w:tcPr>
            <w:tcW w:w="7526" w:type="dxa"/>
            <w:gridSpan w:val="6"/>
            <w:tcBorders>
              <w:top w:val="single" w:color="auto" w:sz="4" w:space="0"/>
              <w:left w:val="single" w:color="auto" w:sz="4" w:space="0"/>
              <w:bottom w:val="single" w:color="auto" w:sz="4" w:space="0"/>
              <w:right w:val="single" w:color="000000" w:sz="4" w:space="0"/>
            </w:tcBorders>
            <w:noWrap/>
            <w:vAlign w:val="center"/>
          </w:tcPr>
          <w:p>
            <w:pPr>
              <w:spacing w:after="0"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合计</w:t>
            </w:r>
            <w:r>
              <w:rPr>
                <w:rFonts w:hint="eastAsia" w:ascii="仿宋" w:hAnsi="仿宋" w:eastAsia="仿宋" w:cs="仿宋"/>
                <w:b/>
                <w:bCs/>
                <w:color w:val="auto"/>
                <w:sz w:val="24"/>
                <w:szCs w:val="24"/>
                <w:lang w:val="en-US" w:eastAsia="zh-CN"/>
              </w:rPr>
              <w:t>金额</w:t>
            </w:r>
          </w:p>
        </w:tc>
        <w:tc>
          <w:tcPr>
            <w:tcW w:w="968" w:type="dxa"/>
            <w:tcBorders>
              <w:top w:val="single" w:color="auto" w:sz="4" w:space="0"/>
              <w:left w:val="nil"/>
              <w:bottom w:val="single" w:color="auto" w:sz="4" w:space="0"/>
              <w:right w:val="single" w:color="auto" w:sz="4" w:space="0"/>
            </w:tcBorders>
            <w:noWrap/>
            <w:vAlign w:val="center"/>
          </w:tcPr>
          <w:p>
            <w:pPr>
              <w:spacing w:after="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tc>
        <w:tc>
          <w:tcPr>
            <w:tcW w:w="866" w:type="dxa"/>
            <w:tcBorders>
              <w:top w:val="single" w:color="auto" w:sz="4" w:space="0"/>
              <w:left w:val="nil"/>
              <w:bottom w:val="single" w:color="auto" w:sz="4" w:space="0"/>
              <w:right w:val="single" w:color="auto" w:sz="4" w:space="0"/>
            </w:tcBorders>
            <w:noWrap/>
            <w:vAlign w:val="center"/>
          </w:tcPr>
          <w:p>
            <w:pPr>
              <w:spacing w:after="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tc>
      </w:tr>
    </w:tbl>
    <w:p>
      <w:pPr>
        <w:keepNext w:val="0"/>
        <w:keepLines w:val="0"/>
        <w:pageBreakBefore w:val="0"/>
        <w:widowControl/>
        <w:kinsoku/>
        <w:wordWrap/>
        <w:overflowPunct/>
        <w:topLinePunct w:val="0"/>
        <w:autoSpaceDE/>
        <w:autoSpaceDN/>
        <w:bidi w:val="0"/>
        <w:adjustRightInd/>
        <w:snapToGrid/>
        <w:spacing w:after="0" w:line="44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如果按单价计算的结果与总价不一致,以单价为准修正总价。</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如果不提供详细参数和报价将视为没有实质性响应公开询价文件。</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720" w:firstLineChars="3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3.以上报价包含税费等一切费用，卖方需开具足额的增值税普通发票。</w:t>
      </w:r>
    </w:p>
    <w:p>
      <w:pPr>
        <w:pageBreakBefore w:val="0"/>
        <w:widowControl/>
        <w:kinsoku/>
        <w:wordWrap/>
        <w:overflowPunct/>
        <w:topLinePunct w:val="0"/>
        <w:autoSpaceDE/>
        <w:autoSpaceDN/>
        <w:bidi w:val="0"/>
        <w:adjustRightInd/>
        <w:snapToGrid/>
        <w:spacing w:after="0" w:afterAutospacing="0" w:line="440" w:lineRule="exac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附件</w:t>
      </w:r>
      <w:bookmarkStart w:id="50" w:name="_Toc533670082"/>
      <w:r>
        <w:rPr>
          <w:rFonts w:hint="eastAsia" w:ascii="仿宋" w:hAnsi="仿宋" w:eastAsia="仿宋" w:cs="仿宋"/>
          <w:b/>
          <w:color w:val="auto"/>
          <w:sz w:val="24"/>
          <w:szCs w:val="24"/>
          <w:lang w:val="en-US" w:eastAsia="zh-CN"/>
        </w:rPr>
        <w:t>：</w:t>
      </w:r>
      <w:r>
        <w:rPr>
          <w:rFonts w:hint="eastAsia" w:ascii="仿宋" w:hAnsi="仿宋" w:eastAsia="仿宋" w:cs="仿宋"/>
          <w:b/>
          <w:color w:val="auto"/>
          <w:sz w:val="24"/>
          <w:szCs w:val="24"/>
        </w:rPr>
        <w:t>广州松田职业学院门户网站建设需求</w:t>
      </w:r>
      <w:bookmarkEnd w:id="50"/>
    </w:p>
    <w:p>
      <w:pPr>
        <w:pStyle w:val="3"/>
        <w:pageBreakBefore w:val="0"/>
        <w:widowControl/>
        <w:numPr>
          <w:ilvl w:val="0"/>
          <w:numId w:val="3"/>
        </w:numPr>
        <w:kinsoku/>
        <w:wordWrap/>
        <w:overflowPunct/>
        <w:topLinePunct w:val="0"/>
        <w:autoSpaceDE/>
        <w:autoSpaceDN/>
        <w:bidi w:val="0"/>
        <w:adjustRightInd/>
        <w:snapToGrid/>
        <w:spacing w:before="0" w:after="0" w:afterAutospacing="0" w:line="440" w:lineRule="exact"/>
        <w:textAlignment w:val="auto"/>
        <w:rPr>
          <w:rFonts w:hint="eastAsia" w:ascii="仿宋" w:hAnsi="仿宋" w:eastAsia="仿宋" w:cs="仿宋"/>
          <w:color w:val="auto"/>
          <w:sz w:val="24"/>
          <w:szCs w:val="24"/>
        </w:rPr>
      </w:pPr>
      <w:bookmarkStart w:id="51" w:name="_Toc533670083"/>
      <w:bookmarkStart w:id="52" w:name="_Toc17071"/>
      <w:r>
        <w:rPr>
          <w:rFonts w:hint="eastAsia" w:ascii="仿宋" w:hAnsi="仿宋" w:eastAsia="仿宋" w:cs="仿宋"/>
          <w:color w:val="auto"/>
          <w:sz w:val="24"/>
          <w:szCs w:val="24"/>
        </w:rPr>
        <w:t>网站建设原则和策略</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先进性和成熟性原则：</w:t>
      </w:r>
      <w:r>
        <w:rPr>
          <w:rFonts w:hint="eastAsia" w:ascii="仿宋" w:hAnsi="仿宋" w:eastAsia="仿宋" w:cs="仿宋"/>
          <w:color w:val="auto"/>
          <w:sz w:val="24"/>
          <w:szCs w:val="24"/>
        </w:rPr>
        <w:t>网站建设尽可能采用最先进的技术、方法、软件、硬件和网络平台，确保网站的先进性，同时兼顾成熟性，使网站成熟而且可靠。网站在满足全局性与整体性要求的同时，能够适应未来技术发展和需求的变化，使网站能够可持续发展。</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标准化和开放性原则：</w:t>
      </w:r>
      <w:r>
        <w:rPr>
          <w:rFonts w:hint="eastAsia" w:ascii="仿宋" w:hAnsi="仿宋" w:eastAsia="仿宋" w:cs="仿宋"/>
          <w:color w:val="auto"/>
          <w:sz w:val="24"/>
          <w:szCs w:val="24"/>
        </w:rPr>
        <w:t>网站的建设要严格按照国家、地方和行业的有关标准与规范，在没有标准与规范的情况下，要参照国家、地方和行业的相关标准与规范。网站的分析、设计、实现和测试要严格按照标准和规范，并尽可能采用开放技术和国际主流技术，以确保系统符合国际上各种开放标准。</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实用性原则：</w:t>
      </w:r>
      <w:r>
        <w:rPr>
          <w:rFonts w:hint="eastAsia" w:ascii="仿宋" w:hAnsi="仿宋" w:eastAsia="仿宋" w:cs="仿宋"/>
          <w:color w:val="auto"/>
          <w:sz w:val="24"/>
          <w:szCs w:val="24"/>
        </w:rPr>
        <w:t>网站的开发要“以人为本，以教学为宗旨”，充分考虑学校实际需要，贴近师生的需求与习惯做法，做到功能强大、界面友好和美观、操作简单、使用方便，减少工作人员的工作量，实现内部人员可以便捷管理、终端用户能方便地获得所需的信息。</w:t>
      </w:r>
    </w:p>
    <w:p>
      <w:pPr>
        <w:keepNext w:val="0"/>
        <w:keepLines w:val="0"/>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可维护性和扩展性原则：</w:t>
      </w:r>
      <w:r>
        <w:rPr>
          <w:rFonts w:hint="eastAsia" w:ascii="仿宋" w:hAnsi="仿宋" w:eastAsia="仿宋" w:cs="仿宋"/>
          <w:color w:val="auto"/>
          <w:sz w:val="24"/>
          <w:szCs w:val="24"/>
        </w:rPr>
        <w:t>为了确保网站的可持续发展，网站应具有较强的可维护性和扩展性。网站能够方便地进行管理与维护，不影响正常运作，网站功能、结构以及数据库可方便地扩展。</w:t>
      </w:r>
    </w:p>
    <w:p>
      <w:pPr>
        <w:keepNext w:val="0"/>
        <w:keepLines w:val="0"/>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安全性和保密性原则：</w:t>
      </w:r>
      <w:r>
        <w:rPr>
          <w:rFonts w:hint="eastAsia" w:ascii="仿宋" w:hAnsi="仿宋" w:eastAsia="仿宋" w:cs="仿宋"/>
          <w:color w:val="auto"/>
          <w:sz w:val="24"/>
          <w:szCs w:val="24"/>
        </w:rPr>
        <w:t>保证网络环境下数据的安全，防止病毒入侵、非法访问、恶意更改毁坏，在安全性方面有防篡改机制，采取完备的数据保护和备份机制。为了防止非授权用户的非法入侵和授权用户的越权使用，网站应进行各种级别的权限控制，自动记录用户访问的情况和操作过程，以备日后查询。</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高性能和稳定性原则：</w:t>
      </w:r>
      <w:r>
        <w:rPr>
          <w:rFonts w:hint="eastAsia" w:ascii="仿宋" w:hAnsi="仿宋" w:eastAsia="仿宋" w:cs="仿宋"/>
          <w:color w:val="auto"/>
          <w:sz w:val="24"/>
          <w:szCs w:val="24"/>
        </w:rPr>
        <w:t>在网站设计、开发和应用时，应从网站结构、技术措施、软硬件平台、技术服务和维护响应能力等方面综合考虑，确保系统较高的性能，如在网络环境下对多用户并发操作要具有较高的稳定性和响应速度，综合考虑确保网站应用中最低的故障率，确保网站的良好运行。</w:t>
      </w:r>
    </w:p>
    <w:p>
      <w:pPr>
        <w:pStyle w:val="3"/>
        <w:pageBreakBefore w:val="0"/>
        <w:widowControl/>
        <w:kinsoku/>
        <w:wordWrap/>
        <w:overflowPunct/>
        <w:topLinePunct w:val="0"/>
        <w:autoSpaceDE/>
        <w:autoSpaceDN/>
        <w:bidi w:val="0"/>
        <w:adjustRightInd/>
        <w:snapToGrid/>
        <w:spacing w:before="0" w:after="0" w:afterAutospacing="0"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二、网站的创意与风格</w:t>
      </w:r>
      <w:bookmarkEnd w:id="51"/>
      <w:bookmarkEnd w:id="52"/>
    </w:p>
    <w:p>
      <w:pPr>
        <w:pageBreakBefore w:val="0"/>
        <w:widowControl/>
        <w:kinsoku/>
        <w:wordWrap/>
        <w:overflowPunct/>
        <w:topLinePunct w:val="0"/>
        <w:autoSpaceDE/>
        <w:autoSpaceDN/>
        <w:bidi w:val="0"/>
        <w:adjustRightInd/>
        <w:snapToGrid/>
        <w:spacing w:after="0" w:afterAutospacing="0"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网站首页设计考虑整体学校意见，页面样式简洁、大方，彰显现代化教育的文化特征和科技特色，同时实现网上教育思想的传达。为了方便维护，采用WEB界面B/S三层设计整个网站系统，尽可能减少日后的信息维护量和方便内容的更新。网页设计选择眼睛不易疲劳的颜色，并适应大多数浏览器的兼容性（支持Internet Explorer7以上、谷歌浏览器、火狐浏览器、搜狗浏览器、360浏览器等各类浏览器并显示效果一致及手机端各类浏览兼容）。整体设计具有前瞻性、扩展性，具备国际化视野；与同类高校相比，属于第一梯队；设计专业化、管理过程标准化。</w:t>
      </w:r>
    </w:p>
    <w:p>
      <w:pPr>
        <w:pStyle w:val="3"/>
        <w:pageBreakBefore w:val="0"/>
        <w:widowControl/>
        <w:kinsoku/>
        <w:wordWrap/>
        <w:overflowPunct/>
        <w:topLinePunct w:val="0"/>
        <w:autoSpaceDE/>
        <w:autoSpaceDN/>
        <w:bidi w:val="0"/>
        <w:adjustRightInd/>
        <w:snapToGrid/>
        <w:spacing w:before="0" w:after="0" w:afterAutospacing="0" w:line="440" w:lineRule="exact"/>
        <w:textAlignment w:val="auto"/>
        <w:rPr>
          <w:rFonts w:hint="eastAsia" w:ascii="仿宋" w:hAnsi="仿宋" w:eastAsia="仿宋" w:cs="仿宋"/>
          <w:color w:val="auto"/>
          <w:sz w:val="24"/>
          <w:szCs w:val="24"/>
        </w:rPr>
      </w:pPr>
      <w:bookmarkStart w:id="53" w:name="_Toc533670084"/>
      <w:r>
        <w:rPr>
          <w:rFonts w:hint="eastAsia" w:ascii="仿宋" w:hAnsi="仿宋" w:eastAsia="仿宋" w:cs="仿宋"/>
          <w:color w:val="auto"/>
          <w:sz w:val="24"/>
          <w:szCs w:val="24"/>
        </w:rPr>
        <w:t>三、系统用户和角色设计</w:t>
      </w:r>
      <w:bookmarkEnd w:id="53"/>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游客：</w:t>
      </w:r>
      <w:r>
        <w:rPr>
          <w:rFonts w:hint="eastAsia" w:ascii="仿宋" w:hAnsi="仿宋" w:eastAsia="仿宋" w:cs="仿宋"/>
          <w:color w:val="auto"/>
          <w:sz w:val="24"/>
          <w:szCs w:val="24"/>
        </w:rPr>
        <w:t>所有访问门户网站前端的人员即为访客，可以随意点击查看各个信息模块。</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系统管理员：</w:t>
      </w:r>
      <w:r>
        <w:rPr>
          <w:rFonts w:hint="eastAsia" w:ascii="仿宋" w:hAnsi="仿宋" w:eastAsia="仿宋" w:cs="仿宋"/>
          <w:color w:val="auto"/>
          <w:sz w:val="24"/>
          <w:szCs w:val="24"/>
        </w:rPr>
        <w:t>通过登录后台后，维护学校一级网站的内容，审核二级管理员提交到学校首页发布的内容，维护首页信息模块，导航模块，管理二级学校网站管理员、部门网站管理员。</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二级学校网站管理员：</w:t>
      </w:r>
      <w:r>
        <w:rPr>
          <w:rFonts w:hint="eastAsia" w:ascii="仿宋" w:hAnsi="仿宋" w:eastAsia="仿宋" w:cs="仿宋"/>
          <w:color w:val="auto"/>
          <w:sz w:val="24"/>
          <w:szCs w:val="24"/>
        </w:rPr>
        <w:t>进行二级网站的内容维护、审核发布员提交的发布内容，维护首页信息模块，导航模块。</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二级机构网站管理员：</w:t>
      </w:r>
      <w:r>
        <w:rPr>
          <w:rFonts w:hint="eastAsia" w:ascii="仿宋" w:hAnsi="仿宋" w:eastAsia="仿宋" w:cs="仿宋"/>
          <w:color w:val="auto"/>
          <w:sz w:val="24"/>
          <w:szCs w:val="24"/>
        </w:rPr>
        <w:t>进行机构网站的内容维护、审核发布员提交的发布内容，维护首页信息模块，导航模块。</w:t>
      </w:r>
    </w:p>
    <w:p>
      <w:pPr>
        <w:pageBreakBefore w:val="0"/>
        <w:widowControl/>
        <w:kinsoku/>
        <w:wordWrap/>
        <w:overflowPunct/>
        <w:topLinePunct w:val="0"/>
        <w:autoSpaceDE/>
        <w:autoSpaceDN/>
        <w:bidi w:val="0"/>
        <w:adjustRightInd/>
        <w:snapToGrid/>
        <w:spacing w:after="0" w:afterAutospacing="0" w:line="44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发布员：</w:t>
      </w:r>
      <w:r>
        <w:rPr>
          <w:rFonts w:hint="eastAsia" w:ascii="仿宋" w:hAnsi="仿宋" w:eastAsia="仿宋" w:cs="仿宋"/>
          <w:color w:val="auto"/>
          <w:sz w:val="24"/>
          <w:szCs w:val="24"/>
        </w:rPr>
        <w:t>根据权限所属在一级学校或者二级学校或指定模块中发布新动态，发布后需要经过管理员一级或者二级审核。</w:t>
      </w:r>
    </w:p>
    <w:p>
      <w:pPr>
        <w:pageBreakBefore w:val="0"/>
        <w:widowControl/>
        <w:kinsoku/>
        <w:wordWrap/>
        <w:overflowPunct/>
        <w:topLinePunct w:val="0"/>
        <w:autoSpaceDE/>
        <w:autoSpaceDN/>
        <w:bidi w:val="0"/>
        <w:adjustRightInd/>
        <w:snapToGrid/>
        <w:spacing w:after="0" w:afterAutospacing="0"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备注：所有二级网站的管理员都有将新闻提交官网首页发布的权限，官网首页发布的最终审核人由信息发布总管理员进行确认审核后即可发布在官网首页。</w:t>
      </w:r>
    </w:p>
    <w:p>
      <w:pPr>
        <w:pStyle w:val="3"/>
        <w:pageBreakBefore w:val="0"/>
        <w:widowControl/>
        <w:kinsoku/>
        <w:wordWrap/>
        <w:overflowPunct/>
        <w:topLinePunct w:val="0"/>
        <w:autoSpaceDE/>
        <w:autoSpaceDN/>
        <w:bidi w:val="0"/>
        <w:adjustRightInd/>
        <w:snapToGrid/>
        <w:spacing w:before="0" w:after="0" w:afterAutospacing="0" w:line="440" w:lineRule="exact"/>
        <w:textAlignment w:val="auto"/>
        <w:rPr>
          <w:rFonts w:hint="eastAsia" w:ascii="仿宋" w:hAnsi="仿宋" w:eastAsia="仿宋" w:cs="仿宋"/>
          <w:color w:val="auto"/>
          <w:sz w:val="24"/>
          <w:szCs w:val="24"/>
        </w:rPr>
      </w:pPr>
      <w:bookmarkStart w:id="54" w:name="_Toc533670086"/>
      <w:r>
        <w:rPr>
          <w:rFonts w:hint="eastAsia" w:ascii="仿宋" w:hAnsi="仿宋" w:eastAsia="仿宋" w:cs="仿宋"/>
          <w:color w:val="auto"/>
          <w:sz w:val="24"/>
          <w:szCs w:val="24"/>
        </w:rPr>
        <w:t>四、主要功能内容介绍</w:t>
      </w:r>
      <w:bookmarkEnd w:id="54"/>
    </w:p>
    <w:p>
      <w:pPr>
        <w:pageBreakBefore w:val="0"/>
        <w:widowControl/>
        <w:kinsoku/>
        <w:wordWrap/>
        <w:overflowPunct/>
        <w:topLinePunct w:val="0"/>
        <w:autoSpaceDE/>
        <w:autoSpaceDN/>
        <w:bidi w:val="0"/>
        <w:adjustRightInd/>
        <w:snapToGrid/>
        <w:spacing w:after="0" w:afterAutospacing="0" w:line="440" w:lineRule="exact"/>
        <w:ind w:firstLine="424" w:firstLineChars="177"/>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所有页面由顶部学校或者院系部logo、主导航栏（各模块的入口）、中间内容部分、</w:t>
      </w:r>
      <w:r>
        <w:rPr>
          <w:rFonts w:hint="eastAsia" w:ascii="仿宋" w:hAnsi="仿宋" w:eastAsia="仿宋" w:cs="仿宋"/>
          <w:color w:val="auto"/>
          <w:kern w:val="0"/>
          <w:sz w:val="24"/>
          <w:szCs w:val="24"/>
        </w:rPr>
        <w:t>底部导航（公众号二维码、网站备案信息，学校联系方式如地址电话）组成，中间内容更加不同页面的特点展示不同内容，</w:t>
      </w:r>
      <w:r>
        <w:rPr>
          <w:rFonts w:hint="eastAsia" w:ascii="仿宋" w:hAnsi="仿宋" w:eastAsia="仿宋" w:cs="仿宋"/>
          <w:color w:val="auto"/>
          <w:sz w:val="24"/>
          <w:szCs w:val="24"/>
        </w:rPr>
        <w:t>能灵活自定义信息模块，能自定义各级模块。整体功能内容如下所示，具体情况可以根据实际情况进行相应调整：</w:t>
      </w:r>
    </w:p>
    <w:tbl>
      <w:tblPr>
        <w:tblStyle w:val="23"/>
        <w:tblW w:w="0" w:type="auto"/>
        <w:tblInd w:w="90" w:type="dxa"/>
        <w:tblLayout w:type="fixed"/>
        <w:tblCellMar>
          <w:top w:w="0" w:type="dxa"/>
          <w:left w:w="108" w:type="dxa"/>
          <w:bottom w:w="0" w:type="dxa"/>
          <w:right w:w="108" w:type="dxa"/>
        </w:tblCellMar>
      </w:tblPr>
      <w:tblGrid>
        <w:gridCol w:w="727"/>
        <w:gridCol w:w="1276"/>
        <w:gridCol w:w="7402"/>
      </w:tblGrid>
      <w:tr>
        <w:tblPrEx>
          <w:tblCellMar>
            <w:top w:w="0" w:type="dxa"/>
            <w:left w:w="108" w:type="dxa"/>
            <w:bottom w:w="0" w:type="dxa"/>
            <w:right w:w="108" w:type="dxa"/>
          </w:tblCellMar>
        </w:tblPrEx>
        <w:trPr>
          <w:trHeight w:val="277" w:hRule="atLeast"/>
        </w:trPr>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一级栏目</w:t>
            </w:r>
          </w:p>
        </w:tc>
        <w:tc>
          <w:tcPr>
            <w:tcW w:w="7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tblPrEx>
          <w:tblCellMar>
            <w:top w:w="0" w:type="dxa"/>
            <w:left w:w="108" w:type="dxa"/>
            <w:bottom w:w="0" w:type="dxa"/>
            <w:right w:w="108" w:type="dxa"/>
          </w:tblCellMar>
        </w:tblPrEx>
        <w:trPr>
          <w:trHeight w:val="835"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bookmarkStart w:id="55" w:name="RANGE!B2"/>
            <w:r>
              <w:rPr>
                <w:rFonts w:hint="eastAsia" w:ascii="仿宋" w:hAnsi="仿宋" w:eastAsia="仿宋" w:cs="仿宋"/>
                <w:b/>
                <w:color w:val="auto"/>
                <w:kern w:val="0"/>
                <w:sz w:val="24"/>
                <w:szCs w:val="24"/>
              </w:rPr>
              <w:t>门户首页</w:t>
            </w:r>
            <w:bookmarkEnd w:id="55"/>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学校的门户的首页，展示最重要的信息，如学校荣誉、科研成果、学术成果、国际交流合作、办学实力、学校公告等信息，首页以简洁大气为主，展示核心内容。</w:t>
            </w:r>
          </w:p>
        </w:tc>
      </w:tr>
      <w:tr>
        <w:tblPrEx>
          <w:tblCellMar>
            <w:top w:w="0" w:type="dxa"/>
            <w:left w:w="108" w:type="dxa"/>
            <w:bottom w:w="0" w:type="dxa"/>
            <w:right w:w="108" w:type="dxa"/>
          </w:tblCellMar>
        </w:tblPrEx>
        <w:trPr>
          <w:trHeight w:val="563"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学校概况</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学校概况的介绍，分不同的子模块展示学校简介、校园风景、视频聚焦、校徽校歌、现任领导等。</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园风景栏目采用图片管理系统制作，可发布校园环境、学生风采等相关的图片，后台提供的方便的图片添加、删除及修改等功能；视频聚焦栏目采用视频管理系统制作，后台可上传相应的视频在前端播放；其他栏目则是采用精美的图文单篇页面制作。</w:t>
            </w:r>
          </w:p>
        </w:tc>
      </w:tr>
      <w:tr>
        <w:tblPrEx>
          <w:tblCellMar>
            <w:top w:w="0" w:type="dxa"/>
            <w:left w:w="108" w:type="dxa"/>
            <w:bottom w:w="0" w:type="dxa"/>
            <w:right w:w="108" w:type="dxa"/>
          </w:tblCellMar>
        </w:tblPrEx>
        <w:trPr>
          <w:trHeight w:val="451"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学校新闻</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学校新闻动态的窗口，让师生、访客更了解学校。 </w:t>
            </w:r>
          </w:p>
        </w:tc>
      </w:tr>
      <w:tr>
        <w:tblPrEx>
          <w:tblCellMar>
            <w:top w:w="0" w:type="dxa"/>
            <w:left w:w="108" w:type="dxa"/>
            <w:bottom w:w="0" w:type="dxa"/>
            <w:right w:w="108" w:type="dxa"/>
          </w:tblCellMar>
        </w:tblPrEx>
        <w:trPr>
          <w:trHeight w:val="90"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职能部门</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与学校主网站风格相呼应，展示部门的介绍、展现学科特色、了解部门服务内容，采用模块化设计，能够灵活生成和调整页面内容，有不同的展示风格模板。</w:t>
            </w:r>
          </w:p>
        </w:tc>
      </w:tr>
      <w:tr>
        <w:tblPrEx>
          <w:tblCellMar>
            <w:top w:w="0" w:type="dxa"/>
            <w:left w:w="108" w:type="dxa"/>
            <w:bottom w:w="0" w:type="dxa"/>
            <w:right w:w="108" w:type="dxa"/>
          </w:tblCellMar>
        </w:tblPrEx>
        <w:trPr>
          <w:trHeight w:val="465"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院系设置</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据不同院系的特点，但又跟学校主网站风格保存一致，展示子院系的介绍、风采、荣誉、展现学科特色、了解专业学科教学内容、就业方向，采用模块化设计，能够灵活生成和调整页面内容，有不同的展示风格模板。</w:t>
            </w:r>
          </w:p>
        </w:tc>
      </w:tr>
      <w:tr>
        <w:tblPrEx>
          <w:tblCellMar>
            <w:top w:w="0" w:type="dxa"/>
            <w:left w:w="108" w:type="dxa"/>
            <w:bottom w:w="0" w:type="dxa"/>
            <w:right w:w="108" w:type="dxa"/>
          </w:tblCellMar>
        </w:tblPrEx>
        <w:trPr>
          <w:trHeight w:val="367"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招生工作</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链接招生与策划推广办公室子网站和继续教育子网站。</w:t>
            </w:r>
          </w:p>
        </w:tc>
      </w:tr>
      <w:tr>
        <w:tblPrEx>
          <w:tblCellMar>
            <w:top w:w="0" w:type="dxa"/>
            <w:left w:w="108" w:type="dxa"/>
            <w:bottom w:w="0" w:type="dxa"/>
            <w:right w:w="108" w:type="dxa"/>
          </w:tblCellMar>
        </w:tblPrEx>
        <w:trPr>
          <w:trHeight w:val="244"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学生管理</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链接学生处子网站。</w:t>
            </w:r>
          </w:p>
        </w:tc>
      </w:tr>
      <w:tr>
        <w:tblPrEx>
          <w:tblCellMar>
            <w:top w:w="0" w:type="dxa"/>
            <w:left w:w="108" w:type="dxa"/>
            <w:bottom w:w="0" w:type="dxa"/>
            <w:right w:w="108" w:type="dxa"/>
          </w:tblCellMar>
        </w:tblPrEx>
        <w:trPr>
          <w:trHeight w:val="287"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党建工作</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链接党建子网站，网站以红色为主色调。</w:t>
            </w:r>
          </w:p>
        </w:tc>
      </w:tr>
      <w:tr>
        <w:tblPrEx>
          <w:tblCellMar>
            <w:top w:w="0" w:type="dxa"/>
            <w:left w:w="108" w:type="dxa"/>
            <w:bottom w:w="0" w:type="dxa"/>
            <w:right w:w="108" w:type="dxa"/>
          </w:tblCellMar>
        </w:tblPrEx>
        <w:trPr>
          <w:trHeight w:val="90"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工会工作</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链接工会子网站，网站以红色为主色调。</w:t>
            </w:r>
          </w:p>
        </w:tc>
      </w:tr>
      <w:tr>
        <w:tblPrEx>
          <w:tblCellMar>
            <w:top w:w="0" w:type="dxa"/>
            <w:left w:w="108" w:type="dxa"/>
            <w:bottom w:w="0" w:type="dxa"/>
            <w:right w:w="108" w:type="dxa"/>
          </w:tblCellMar>
        </w:tblPrEx>
        <w:trPr>
          <w:trHeight w:val="303"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18</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综合服务</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学校地址，学校电话各类信息。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学校地址栏目则是嵌入百度地图，形象直观展示松田学校的地理位置和联系方式；</w:t>
            </w:r>
          </w:p>
        </w:tc>
      </w:tr>
      <w:tr>
        <w:tblPrEx>
          <w:tblCellMar>
            <w:top w:w="0" w:type="dxa"/>
            <w:left w:w="108" w:type="dxa"/>
            <w:bottom w:w="0" w:type="dxa"/>
            <w:right w:w="108" w:type="dxa"/>
          </w:tblCellMar>
        </w:tblPrEx>
        <w:trPr>
          <w:trHeight w:val="90"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19</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专题页</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更方便快速的连接新建的专题页面、专题页可在首页快速链接，诸如精品课程、质量工程、迎新注册等。</w:t>
            </w:r>
          </w:p>
        </w:tc>
      </w:tr>
      <w:tr>
        <w:tblPrEx>
          <w:tblCellMar>
            <w:top w:w="0" w:type="dxa"/>
            <w:left w:w="108" w:type="dxa"/>
            <w:bottom w:w="0" w:type="dxa"/>
            <w:right w:w="108" w:type="dxa"/>
          </w:tblCellMar>
        </w:tblPrEx>
        <w:trPr>
          <w:trHeight w:val="185" w:hRule="atLeast"/>
        </w:trPr>
        <w:tc>
          <w:tcPr>
            <w:tcW w:w="7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手机端</w:t>
            </w:r>
          </w:p>
        </w:tc>
        <w:tc>
          <w:tcPr>
            <w:tcW w:w="7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微信企业号，自动适应页面内容，同步更新，信息推送。</w:t>
            </w:r>
          </w:p>
        </w:tc>
      </w:tr>
    </w:tbl>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bCs/>
          <w:color w:val="auto"/>
          <w:kern w:val="0"/>
          <w:sz w:val="24"/>
        </w:rPr>
      </w:pPr>
      <w:r>
        <w:rPr>
          <w:rFonts w:hint="eastAsia" w:ascii="仿宋" w:hAnsi="仿宋" w:eastAsia="仿宋" w:cs="仿宋"/>
          <w:bCs/>
          <w:color w:val="auto"/>
          <w:kern w:val="0"/>
          <w:sz w:val="24"/>
        </w:rPr>
        <w:t>注：网站整体核心功能方向以办学实力及特色展现、学术科研、招生就业、教育教学、国际交流、成果展示及新闻动态为重点，页面设计大气，内容丰富。</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ascii="方正仿宋简体" w:hAnsi="仿宋" w:eastAsia="方正仿宋简体" w:cs="仿宋"/>
          <w:b/>
          <w:bCs/>
          <w:color w:val="auto"/>
          <w:kern w:val="0"/>
          <w:sz w:val="28"/>
          <w:szCs w:val="28"/>
        </w:rPr>
      </w:pPr>
      <w:r>
        <w:rPr>
          <w:rFonts w:hint="eastAsia" w:ascii="仿宋" w:hAnsi="仿宋" w:eastAsia="仿宋" w:cs="仿宋"/>
          <w:color w:val="auto"/>
          <w:kern w:val="0"/>
          <w:sz w:val="24"/>
        </w:rPr>
        <w:t>网站首页根据需求进行定制化、个性化的设计，包括简体中文、英文两种语言版本。采用响应式自适应技术，网站适应PC、PAD、手机端浏览、访问</w:t>
      </w:r>
      <w:r>
        <w:rPr>
          <w:rFonts w:hint="eastAsia" w:ascii="仿宋" w:hAnsi="仿宋" w:eastAsia="仿宋" w:cs="仿宋"/>
          <w:b/>
          <w:bCs/>
          <w:color w:val="auto"/>
          <w:kern w:val="0"/>
          <w:sz w:val="28"/>
          <w:szCs w:val="28"/>
        </w:rPr>
        <w:t>。</w:t>
      </w:r>
    </w:p>
    <w:tbl>
      <w:tblPr>
        <w:tblStyle w:val="2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广州松田职业学院英文网站栏目规划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一级栏目</w:t>
            </w:r>
          </w:p>
        </w:tc>
        <w:tc>
          <w:tcPr>
            <w:tcW w:w="2841"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二级栏目</w:t>
            </w:r>
          </w:p>
        </w:tc>
        <w:tc>
          <w:tcPr>
            <w:tcW w:w="3784"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网站首页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学校简介</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现任领导</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校园风景</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视频聚焦</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校徽校歌</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学校地址</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学校首页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链接到官网首页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465"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备注：建议后续可根据相关业务的改变，增减或修改导航。</w:t>
            </w:r>
          </w:p>
        </w:tc>
      </w:tr>
    </w:tbl>
    <w:p>
      <w:pPr>
        <w:numPr>
          <w:ilvl w:val="0"/>
          <w:numId w:val="0"/>
        </w:numPr>
        <w:spacing w:line="360" w:lineRule="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五、</w:t>
      </w:r>
      <w:r>
        <w:rPr>
          <w:rFonts w:hint="eastAsia" w:ascii="仿宋" w:hAnsi="仿宋" w:eastAsia="仿宋" w:cs="仿宋"/>
          <w:b/>
          <w:bCs/>
          <w:color w:val="auto"/>
          <w:kern w:val="0"/>
          <w:sz w:val="24"/>
          <w:szCs w:val="24"/>
        </w:rPr>
        <w:t>部门网站建设需求说明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一级栏目</w:t>
            </w:r>
          </w:p>
        </w:tc>
        <w:tc>
          <w:tcPr>
            <w:tcW w:w="2841"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二级栏目</w:t>
            </w:r>
          </w:p>
        </w:tc>
        <w:tc>
          <w:tcPr>
            <w:tcW w:w="3769"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1、广州松田职业学院党建工作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党建概况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党委简介，组织架构</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党建动态</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通知通告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党校培训</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先进典型</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文件库</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规章制度</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2、广州松田职业学院校长办公室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网站首页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部门简介</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院务在线</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服务指南</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校内公文</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通知公告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上级文件</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资料下载</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备注：首页有展示日历模块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3、广州松田职业学院团委办公室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部门简介，岗位职责</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通知公告</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团学动态</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学生风采</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学生组织</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团学服务</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规章制度</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45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4、广州松田职业学院招生与策划推广办公室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招生快讯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招生章程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招生简章</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招生计划</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新生报到</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招生问答</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政策法规</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首页有展示招生简章模块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5、广州松田职业学院教务处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网站首页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部门简介</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教学运行</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通知公告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荣耀时刻</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职业技能</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政策与制度</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国家政策，省级政策，规章制度</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教学服务</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办事流程，教师用资料下载，学生用资料下载</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6、广州松田职业学院学生处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部门概况，岗位职责</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通知通告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思想政治教育</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就业工作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招聘信息，就业动态，就业政策</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宿舍管理与服务</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学生保险</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学生资助</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资助政策，资助育人，学生保险</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服务指南</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7、广州松田职业学院人事处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工作动态</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招聘信息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名师风采，队伍建设，师德师风</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服务指南</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薪酬福利，师资培训，综合人事</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下载中心</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政策制度</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政策法规，规章制度</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8、广州松田职业学院财务处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部门概况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岗位职责</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通知公告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规章制度</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办事指南</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服务指南</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下载中心</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备注：建议后续可根据相关业务的改变，增减或修改导航。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9、广州松田职业学院图书馆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本馆首页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shd w:val="clear" w:color="auto" w:fill="EBF7FC"/>
              </w:rPr>
            </w:pPr>
            <w:r>
              <w:rPr>
                <w:rFonts w:hint="eastAsia" w:ascii="仿宋" w:hAnsi="仿宋" w:eastAsia="仿宋" w:cs="仿宋"/>
                <w:color w:val="auto"/>
                <w:kern w:val="0"/>
                <w:sz w:val="24"/>
                <w:szCs w:val="24"/>
              </w:rPr>
              <w:t>本馆简介，部门简介，图书馆领导</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最新动态</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电子资源</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馆藏资源</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读者服务</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相关下载</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规章制度</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10、广州松田职业学院实验实训管理中心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规章制度</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实践教学</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校外实习，校内实训基地</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培训教程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机房及多媒体培训，伙伴云APP使用培训</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下载中心</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办事流程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11、广州松田职业学院开放合作办公室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校企合作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通知公告</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学历教育</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办事流程</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考证培训</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国际交流</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12、广州松田职业学院创新创业办公室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创业新闻</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创业培训</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项目申报</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项目孵化</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创业服务</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资料下载</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13、</w:t>
            </w:r>
            <w:r>
              <w:rPr>
                <w:rFonts w:hint="eastAsia" w:ascii="仿宋" w:hAnsi="仿宋" w:eastAsia="仿宋" w:cs="仿宋"/>
                <w:color w:val="auto"/>
                <w:kern w:val="0"/>
                <w:sz w:val="24"/>
                <w:szCs w:val="24"/>
              </w:rPr>
              <w:t>广州松田职业学院科研与发展规划处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通知公告</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政策法规</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上级规章制度，校级规章制度，常用查询</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科研动态</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科技简讯，学术交流</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科研成果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科研课题，论文，教材、著作</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下载专区</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上级，校级</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办事流程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14、广州松田职业学院资产管理与采购处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部门简介</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通知公告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部门动态</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招标公告</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资产管理</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规章制度</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下载中心</w:t>
            </w:r>
          </w:p>
        </w:tc>
        <w:tc>
          <w:tcPr>
            <w:tcW w:w="2841" w:type="dxa"/>
            <w:shd w:val="clear" w:color="auto" w:fill="auto"/>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15、广州松田职业学院教学质量监测与评估中心（评建办）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组织机构</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工作动态</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专项工作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数据采集，质量年报，教师培训，诊断与改进</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制度文件</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上级文件，部门文件</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工作简报</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学习专区</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下载专区</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16、广州松田职业学院工会工作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网站首页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工会概况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工会概况，组织架构</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工会新闻</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工会动态，工会小组动态</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通知公告</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生活常识</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规章制度</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双代会</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办事指南</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无</w:t>
            </w:r>
          </w:p>
        </w:tc>
        <w:tc>
          <w:tcPr>
            <w:tcW w:w="37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bl>
    <w:p>
      <w:pPr>
        <w:spacing w:line="360" w:lineRule="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五、院系部网站需求说明</w:t>
      </w:r>
    </w:p>
    <w:tbl>
      <w:tblPr>
        <w:tblStyle w:val="2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1、广州松田职业学院财经商贸学院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一级栏目</w:t>
            </w:r>
          </w:p>
        </w:tc>
        <w:tc>
          <w:tcPr>
            <w:tcW w:w="2841"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二级栏目</w:t>
            </w:r>
          </w:p>
        </w:tc>
        <w:tc>
          <w:tcPr>
            <w:tcW w:w="3784" w:type="dxa"/>
            <w:shd w:val="clear" w:color="auto" w:fill="F7CAAC"/>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学院概况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学院资讯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专业设置</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会计三二分段，跨境电子商务，金融管理，会计，电子商务，工商企业管理，物流管理，法律事务，市场营销</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教学科研</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职业技能</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资格考证，顶岗实习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学工动态</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学生活动，学生风采</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党建工作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2、广州松田职业学院国际商务系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本系概况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专业设置</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国际经济与贸易，商务英语</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教学科研</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党建工作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党员发展，党员风采</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学生动态，学生风采</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招生就业</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3、广州松田职业学院信息技术系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专业设置</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软件技术，计算机应用技术，计算机网络技术，电子商务技术，云计算技术与应用</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校企合作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学生事务</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党团建设</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招生就业</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4、广州松田职业学院汽车系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专业设置</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新能源汽车技术，汽车运用与技术维修，汽车营销与服务，机电一体化技术，电力系统自动化技术，电气自动化技术</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教学科研</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学生动态，学生风采</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党建工作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招生就业</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5、广州松田职业学院艺术系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本系概况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专业设置</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游戏设计，数字媒体艺术设计，广告设计与制作，建筑室内设计</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教学科研</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教学动态，科研动态，教学档案，写生基地，校企合作，资格考证</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党建工作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党员发展，党员风采</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学生工作</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学生动态，学生风采</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就业信息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5"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D7D7D7"/>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6、广州松田职业学基础课部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首页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部门概况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系部资讯</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专业设置</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社会体育，幼儿发展与健康管理，健身指导与管理</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图文单篇页面制作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师资队伍</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教学科研</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教学改革，科研立项，教学管理</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时事政策</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社会实践</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8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学习园地</w:t>
            </w:r>
          </w:p>
        </w:tc>
        <w:tc>
          <w:tcPr>
            <w:tcW w:w="284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78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465" w:type="dxa"/>
            <w:gridSpan w:val="3"/>
            <w:shd w:val="clear" w:color="auto" w:fill="auto"/>
            <w:vAlign w:val="center"/>
          </w:tcPr>
          <w:p>
            <w:pPr>
              <w:pStyle w:val="60"/>
              <w:keepNext w:val="0"/>
              <w:keepLines w:val="0"/>
              <w:pageBreakBefore w:val="0"/>
              <w:widowControl/>
              <w:kinsoku/>
              <w:wordWrap/>
              <w:overflowPunct/>
              <w:topLinePunct w:val="0"/>
              <w:autoSpaceDE/>
              <w:autoSpaceDN/>
              <w:bidi w:val="0"/>
              <w:adjustRightInd/>
              <w:snapToGrid w:val="0"/>
              <w:spacing w:after="0" w:line="240" w:lineRule="auto"/>
              <w:ind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r>
              <w:rPr>
                <w:rFonts w:hint="eastAsia" w:ascii="仿宋" w:hAnsi="仿宋" w:eastAsia="仿宋" w:cs="仿宋"/>
                <w:color w:val="auto"/>
                <w:sz w:val="24"/>
                <w:szCs w:val="24"/>
              </w:rPr>
              <w:t>建议后续可根据相关业务的改变，增减或修改导航。</w:t>
            </w:r>
          </w:p>
        </w:tc>
      </w:tr>
    </w:tbl>
    <w:p>
      <w:pPr>
        <w:numPr>
          <w:ilvl w:val="0"/>
          <w:numId w:val="0"/>
        </w:num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网站后台功能模块</w:t>
      </w: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(一)内容模块主要功能需求说明</w:t>
      </w:r>
    </w:p>
    <w:tbl>
      <w:tblPr>
        <w:tblStyle w:val="2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38"/>
        <w:gridCol w:w="1500"/>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3038" w:type="dxa"/>
            <w:gridSpan w:val="2"/>
            <w:tcBorders>
              <w:top w:val="single" w:color="000000" w:sz="8" w:space="0"/>
              <w:left w:val="single" w:color="000000" w:sz="8" w:space="0"/>
              <w:bottom w:val="single" w:color="000000" w:sz="8" w:space="0"/>
              <w:right w:val="single" w:color="000000" w:sz="8" w:space="0"/>
            </w:tcBorders>
            <w:shd w:val="clear" w:color="auto" w:fill="E6E6E6"/>
            <w:tcMar>
              <w:top w:w="120" w:type="dxa"/>
              <w:left w:w="120" w:type="dxa"/>
              <w:bottom w:w="120" w:type="dxa"/>
              <w:right w:w="120" w:type="dxa"/>
            </w:tcMar>
            <w:vAlign w:val="bottom"/>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模块</w:t>
            </w:r>
          </w:p>
        </w:tc>
        <w:tc>
          <w:tcPr>
            <w:tcW w:w="6315" w:type="dxa"/>
            <w:tcBorders>
              <w:top w:val="single" w:color="000000" w:sz="8" w:space="0"/>
              <w:left w:val="single" w:color="000000" w:sz="8" w:space="0"/>
              <w:bottom w:val="single" w:color="000000" w:sz="8" w:space="0"/>
              <w:right w:val="single" w:color="000000" w:sz="8" w:space="0"/>
            </w:tcBorders>
            <w:shd w:val="clear" w:color="auto" w:fill="E6E6E6"/>
            <w:tcMar>
              <w:top w:w="120" w:type="dxa"/>
              <w:left w:w="120" w:type="dxa"/>
              <w:bottom w:w="120" w:type="dxa"/>
              <w:right w:w="120" w:type="dxa"/>
            </w:tcMar>
            <w:vAlign w:val="bottom"/>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主要功能说明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87" w:hRule="atLeast"/>
          <w:jc w:val="center"/>
        </w:trPr>
        <w:tc>
          <w:tcPr>
            <w:tcW w:w="1538" w:type="dxa"/>
            <w:vMerge w:val="restart"/>
            <w:tcBorders>
              <w:top w:val="single" w:color="000000" w:sz="8" w:space="0"/>
              <w:left w:val="single" w:color="000000" w:sz="8" w:space="0"/>
              <w:right w:val="single" w:color="000000" w:sz="8" w:space="0"/>
            </w:tcBorders>
            <w:shd w:val="clear" w:color="auto" w:fill="auto"/>
            <w:tcMar>
              <w:top w:w="120" w:type="dxa"/>
              <w:left w:w="120" w:type="dxa"/>
              <w:bottom w:w="120" w:type="dxa"/>
              <w:right w:w="120" w:type="dxa"/>
            </w:tcMar>
            <w:vAlign w:val="bottom"/>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首页管理</w:t>
            </w:r>
          </w:p>
        </w:tc>
        <w:tc>
          <w:tcPr>
            <w:tcW w:w="6315" w:type="dxa"/>
            <w:tcBorders>
              <w:top w:val="single" w:color="000000" w:sz="8" w:space="0"/>
              <w:left w:val="single" w:color="000000" w:sz="8" w:space="0"/>
              <w:bottom w:val="single" w:color="000000" w:sz="8" w:space="0"/>
              <w:right w:val="single" w:color="000000" w:sz="8" w:space="0"/>
            </w:tcBorders>
            <w:shd w:val="clear" w:color="auto" w:fill="auto"/>
            <w:tcMar>
              <w:top w:w="120" w:type="dxa"/>
              <w:left w:w="120" w:type="dxa"/>
              <w:bottom w:w="120" w:type="dxa"/>
              <w:right w:w="120" w:type="dxa"/>
            </w:tcMar>
            <w:vAlign w:val="bottom"/>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支持首页模块自定义显示栏目</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支持首页各个模块内容列表置顶操作</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支持首页漂浮图片展示</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支持子站模版独立，修改子站模版不会变更其他子站</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支持子站栏目独立，增删栏目不会变更其他子站栏目</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支持子站首页可选日历显示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510" w:hRule="atLeast"/>
          <w:jc w:val="center"/>
        </w:trPr>
        <w:tc>
          <w:tcPr>
            <w:tcW w:w="1538" w:type="dxa"/>
            <w:vMerge w:val="continue"/>
            <w:tcBorders>
              <w:left w:val="single" w:color="000000" w:sz="8" w:space="0"/>
              <w:right w:val="single" w:color="000000" w:sz="8"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内容管理</w:t>
            </w:r>
          </w:p>
        </w:tc>
        <w:tc>
          <w:tcPr>
            <w:tcW w:w="631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支持内容列表置顶操作</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支持内容自定义排序</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支持内容批量删除</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支持内容批量设置，包括批量推荐设置、审核设置等。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支持内容筛选，包括分类、模型、推荐位、各功能开启状态等。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支持内容复制、迁移</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支持内容title、keywords、description的自定义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支持内容相册、内容关联、内容留言、订购询盘、发布时间自定、访问量自定、表单关联、投票关联等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支持内容专题自定义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支持内容附件分类自定义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支持内容静态生成文件名自定义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支持内容个性化模板自定义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支持内容可视化编辑</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支持内容静态化生成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917" w:hRule="atLeast"/>
          <w:jc w:val="center"/>
        </w:trPr>
        <w:tc>
          <w:tcPr>
            <w:tcW w:w="1538" w:type="dxa"/>
            <w:vMerge w:val="continue"/>
            <w:tcBorders>
              <w:left w:val="single" w:color="000000" w:sz="8" w:space="0"/>
              <w:right w:val="single" w:color="000000" w:sz="8"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分类管理</w:t>
            </w:r>
          </w:p>
        </w:tc>
        <w:tc>
          <w:tcPr>
            <w:tcW w:w="631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支持分类主导航关联</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支持分类排序</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支持分类显示类型，比频道页、列表页或者单页等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支持分类无限子分类发布</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支持分类批量迁移、复制、同步</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支持添加链接分类</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支持添加单页分类</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支持分类代表图片、介绍、自定义生成静态文件夹</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支持分类title、keywords、description的自定义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支持分类访问权限控制</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支持分类显示模板自定义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支持分类排序功能自定义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支持单个分类静动态自定义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支持分类每页显示数量自定义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538" w:type="dxa"/>
            <w:vMerge w:val="continue"/>
            <w:tcBorders>
              <w:left w:val="single" w:color="000000" w:sz="8" w:space="0"/>
              <w:right w:val="single" w:color="000000" w:sz="8"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专题管理</w:t>
            </w:r>
          </w:p>
        </w:tc>
        <w:tc>
          <w:tcPr>
            <w:tcW w:w="631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支持专题图片、简介自定义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支持专题显示类理，比如频道，列表</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支持专题title、keywords、description的自定义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支持专题每页显示数量自定义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支持专题生成格式自定义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支持专题访问权限控制</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支持专题显示模板自定义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支持专题排序功能自定义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538" w:type="dxa"/>
            <w:vMerge w:val="continue"/>
            <w:tcBorders>
              <w:left w:val="single" w:color="000000" w:sz="8" w:space="0"/>
              <w:right w:val="single" w:color="000000" w:sz="8"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模型</w:t>
            </w:r>
          </w:p>
        </w:tc>
        <w:tc>
          <w:tcPr>
            <w:tcW w:w="631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支持字段自定义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支持无限模型添加</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支持字段输入判断</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支持字段排序</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支持组件字段添加</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支持内容各功能开关自定义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538" w:type="dxa"/>
            <w:vMerge w:val="continue"/>
            <w:tcBorders>
              <w:left w:val="single" w:color="000000" w:sz="8" w:space="0"/>
              <w:bottom w:val="single" w:color="000000" w:sz="8" w:space="0"/>
              <w:right w:val="single" w:color="000000" w:sz="8"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其它功能</w:t>
            </w:r>
          </w:p>
        </w:tc>
        <w:tc>
          <w:tcPr>
            <w:tcW w:w="631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支持无限推荐位自定义</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支持SEO优化词分组</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支持SEO优化词批量添加</w:t>
            </w:r>
          </w:p>
        </w:tc>
      </w:tr>
    </w:tbl>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（二）其他功能需求说明</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信息发布管理：可发布图文及视频混编的新闻，包含标题、内容、时间（具体到时分秒）、信息来源，按发布时间排序；提供信息查询搜索功能，提供按标题检索；后台提供的方便的新闻内容添加、删除及修改等功能；具备信息回收站功能；可同步发送至其它同类型栏目或其它站点同类型栏目；信息导出可按指定字段导出；信息具有历史版本记录功能，可进行恢复；信息发布时支持SEO优化设置，可批量推送、批量转移与按字段列表排序。</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2、视频管理：通过后台上传视频文件，页面通过HTTP协议实现播放。</w:t>
      </w:r>
    </w:p>
    <w:p>
      <w:pPr>
        <w:keepNext w:val="0"/>
        <w:keepLines w:val="0"/>
        <w:pageBreakBefore w:val="0"/>
        <w:widowControl/>
        <w:numPr>
          <w:ilvl w:val="0"/>
          <w:numId w:val="4"/>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上传下载附件：采用附件上传的方式上传附件文件；提供下载数据查询搜索功能，提供按日期及标题的模糊检索；后台提供的方便的数据添加、删除及修改等功能。</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4、电子期刊：电子期刊管理是把内容通过图片、PDF上传，并且把信息内容分年、月存放。访问用户可针对不同类别，查看相对应的信息内容。</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5、工作流管理：文章发布二级审核，信息需经过两级管理员审核通过后才能显示在前台页面。</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6、网上留言：以一问一答的方式，建立浏览者与管理员之间的沟通平台；浏览者在前台以电子表单的方式进行留言，管理员可以在后台对留言进行回复、删除等操作；只有经过管理员审核回复的信息才能在前台显示。</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一键分享：前台通过一键分享可将网页、文章分享到微信、微博、QQ空间等。</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二维码：在网站页面加入官方微信、微博、抖音二维码。</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一键推送企业微信：整合企业微信API，可实现将网站发布的信息、文章一键推送到企业微信。</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二级安全等保：根据第三方网站安全评测机构的测评结果，，完成网站安全等保方面的工作，符合国家要求的二级等保要求。</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管理员管理：管理后台管理员，可自定义添加管理员，并分配不同的角色，权限分类分级。</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角色管理：对后台权限角色进行管理，可自定义添加管理角色，角色可按后台菜单、前台栏目、工作流进行配置，前台栏目可按站点、功能操作进行配置。</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友情链接：友情链接模块用于跟相关联的网站进行链接互换，前台可用文字或图片logo形式展示友好站点，并且可以点击跳转。</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图片库：树形目录结构管理网站图片文件，可添加文件夹、上传图片、预览图片、批量添加水印、删除图片，上传图片系统可保留原文件名。</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文件库：树形目录结构管理网站文件资料，可添加文件夹、上传附件、删除文件、下载附件，系统可设置允许上传的文件格式、文件大小；提供两种上传方式为供选择分别为http与ftp。上传设置统一设定整站的上传文件格式，文件大小等参数。</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图片水印设置：统一设定整站对图片的水印设置，可设置文字、图片水印、水印位置、水印比例；文字水印可设置文字字体、字体颜色。</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基本设置：站点SEO设置：通过设置网站信息，用户可自定义网站标题，搜索关键字等，方便搜索优化。系统配置：设置站点LOGO、版权信息、后台分页数量等；</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系统信息：查看服务器信息，可快速获取空间或主机是否支持读写权限、支持的组件信息等。</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站点文件管理：树形目录式管理网站服务器文件，可新建文件、上传文件、删除文件、删除文件夹等操作，文件上传支持FTP、Http两种模式。</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敏感词：可设置过滤关键字，后台添加内容包含敏感词则无法添加，后台可对敏感词关键字进行管理。</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操作日志：可查看网站操作日志、模板操作日志、系统运行日志，方便管理员对网站后台进行监控，确保网站的安全。</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安全配置：设置后台操作日志是否开启。对后台访问路径进行设置，提高网站安全性，避免后台路径暴露遭恶意攻击。设置后台登录超时时间。</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在线客服：引用第三方免费在线客服工具（TQ、QQ、百度商桥等），方便与网页浏览客户进行即时沟通。</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流量统计：引用第三方免费流量统计工具，可以方便的对网站来访的时间、来访IP、来访地区、访问页面等情况进行统计；可生成年报表、月报表、周报表、日报表。</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栏目管理：管理网站前台栏目，可修改栏目名称、复制二级栏目、删除栏目设置栏目SEO优化信息；栏目移动：可将栏目移动至指定栏目之前或之后，来改变栏目的层级；添加外部链接：可在后台添加栏目并设置为外部链接。</w:t>
      </w:r>
    </w:p>
    <w:p>
      <w:pPr>
        <w:keepNext w:val="0"/>
        <w:keepLines w:val="0"/>
        <w:pageBreakBefore w:val="0"/>
        <w:widowControl/>
        <w:numPr>
          <w:ilvl w:val="0"/>
          <w:numId w:val="5"/>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专题页面：添加部门：部门及系部有变动时，可以快速进行修改、删除、增加等；添加专题：可以快速在后台添加专题项目，快速生成所需要的二级网站。</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b/>
          <w:color w:val="auto"/>
          <w:sz w:val="36"/>
          <w:szCs w:val="36"/>
        </w:rPr>
        <w:sectPr>
          <w:headerReference r:id="rId5" w:type="first"/>
          <w:pgSz w:w="11906" w:h="16838"/>
          <w:pgMar w:top="1440" w:right="1416" w:bottom="1440" w:left="1134" w:header="851" w:footer="227" w:gutter="0"/>
          <w:cols w:space="425" w:num="1"/>
          <w:titlePg/>
          <w:docGrid w:type="lines" w:linePitch="312" w:charSpace="0"/>
        </w:sectPr>
      </w:pPr>
      <w:r>
        <w:rPr>
          <w:rFonts w:hint="eastAsia" w:ascii="仿宋" w:hAnsi="仿宋" w:eastAsia="仿宋" w:cs="仿宋"/>
          <w:color w:val="auto"/>
          <w:sz w:val="24"/>
        </w:rPr>
        <w:t>架构分离：前后台分离，前台页面静态化，并适配Ipv6。</w:t>
      </w:r>
    </w:p>
    <w:p>
      <w:pPr>
        <w:spacing w:line="1000" w:lineRule="exact"/>
        <w:jc w:val="both"/>
        <w:rPr>
          <w:rFonts w:ascii="仿宋" w:hAnsi="仿宋" w:eastAsia="仿宋"/>
          <w:b/>
          <w:color w:val="auto"/>
          <w:sz w:val="72"/>
          <w:szCs w:val="72"/>
        </w:rPr>
      </w:pPr>
    </w:p>
    <w:p>
      <w:pPr>
        <w:spacing w:line="1000" w:lineRule="exact"/>
        <w:jc w:val="center"/>
        <w:rPr>
          <w:rFonts w:hint="eastAsia" w:ascii="仿宋" w:hAnsi="仿宋" w:eastAsia="仿宋"/>
          <w:b/>
          <w:color w:val="auto"/>
          <w:sz w:val="72"/>
          <w:szCs w:val="72"/>
        </w:rPr>
      </w:pPr>
    </w:p>
    <w:p>
      <w:pPr>
        <w:spacing w:line="1000" w:lineRule="exact"/>
        <w:jc w:val="center"/>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both"/>
        <w:rPr>
          <w:rFonts w:hint="eastAsia" w:ascii="仿宋" w:hAnsi="仿宋" w:eastAsia="仿宋"/>
          <w:b/>
          <w:color w:val="auto"/>
          <w:sz w:val="72"/>
          <w:szCs w:val="72"/>
        </w:rPr>
      </w:pPr>
    </w:p>
    <w:p>
      <w:pPr>
        <w:spacing w:line="1000" w:lineRule="exact"/>
        <w:jc w:val="center"/>
        <w:rPr>
          <w:rFonts w:hint="eastAsia" w:ascii="仿宋" w:hAnsi="仿宋" w:eastAsia="仿宋"/>
          <w:b/>
          <w:color w:val="auto"/>
          <w:sz w:val="72"/>
          <w:szCs w:val="72"/>
        </w:rPr>
      </w:pPr>
    </w:p>
    <w:p>
      <w:pPr>
        <w:spacing w:line="1000" w:lineRule="exact"/>
        <w:jc w:val="center"/>
        <w:rPr>
          <w:rFonts w:hint="eastAsia" w:ascii="仿宋" w:hAnsi="仿宋" w:eastAsia="仿宋"/>
          <w:b/>
          <w:color w:val="auto"/>
          <w:sz w:val="72"/>
          <w:szCs w:val="72"/>
          <w:lang w:eastAsia="zh-CN"/>
        </w:rPr>
      </w:pPr>
      <w:r>
        <w:rPr>
          <w:rFonts w:hint="eastAsia" w:ascii="仿宋" w:hAnsi="仿宋" w:eastAsia="仿宋"/>
          <w:b/>
          <w:color w:val="auto"/>
          <w:sz w:val="72"/>
          <w:szCs w:val="72"/>
          <w:lang w:eastAsia="zh-CN"/>
        </w:rPr>
        <w:t>广州松田职业学院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关于学校官网升级改版服务项目</w:t>
      </w:r>
    </w:p>
    <w:p>
      <w:pPr>
        <w:spacing w:line="580" w:lineRule="exact"/>
        <w:jc w:val="center"/>
        <w:rPr>
          <w:rFonts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6" w:name="_Toc180302913"/>
      <w:bookmarkStart w:id="57" w:name="_Toc227058530"/>
      <w:bookmarkStart w:id="58" w:name="_Toc191783222"/>
      <w:bookmarkStart w:id="59" w:name="_Toc192664153"/>
      <w:bookmarkStart w:id="60" w:name="_Toc170798793"/>
      <w:bookmarkStart w:id="61" w:name="_Toc192996446"/>
      <w:bookmarkStart w:id="62" w:name="_Toc192996338"/>
      <w:bookmarkStart w:id="63" w:name="_Toc192663835"/>
      <w:bookmarkStart w:id="64" w:name="_Toc169332838"/>
      <w:bookmarkStart w:id="65" w:name="_Toc192663686"/>
      <w:bookmarkStart w:id="66" w:name="_Toc235437991"/>
      <w:bookmarkStart w:id="67" w:name="_Toc181436461"/>
      <w:bookmarkStart w:id="68" w:name="_Toc213755939"/>
      <w:bookmarkStart w:id="69" w:name="_Toc213755858"/>
      <w:bookmarkStart w:id="70" w:name="_Toc266870432"/>
      <w:bookmarkStart w:id="71" w:name="_Toc266868937"/>
      <w:bookmarkStart w:id="72" w:name="_Toc266870833"/>
      <w:bookmarkStart w:id="73" w:name="_Toc223146608"/>
      <w:bookmarkStart w:id="74" w:name="_Toc203355733"/>
      <w:bookmarkStart w:id="75" w:name="_Toc249325711"/>
      <w:bookmarkStart w:id="76" w:name="_Toc169332949"/>
      <w:bookmarkStart w:id="77" w:name="_Toc193165734"/>
      <w:bookmarkStart w:id="78" w:name="_Toc235438274"/>
      <w:bookmarkStart w:id="79" w:name="_Toc235438344"/>
      <w:bookmarkStart w:id="80" w:name="_Toc191802690"/>
      <w:bookmarkStart w:id="81" w:name="_Toc219800243"/>
      <w:bookmarkStart w:id="82" w:name="_Toc251586231"/>
      <w:bookmarkStart w:id="83" w:name="_Toc160880160"/>
      <w:bookmarkStart w:id="84" w:name="_Toc182805217"/>
      <w:bookmarkStart w:id="85" w:name="_Toc160880529"/>
      <w:bookmarkStart w:id="86" w:name="_Toc177985469"/>
      <w:bookmarkStart w:id="87" w:name="_Toc258401256"/>
      <w:bookmarkStart w:id="88" w:name="_Toc191789329"/>
      <w:bookmarkStart w:id="89" w:name="_Toc193160448"/>
      <w:bookmarkStart w:id="90" w:name="_Toc213755995"/>
      <w:bookmarkStart w:id="91" w:name="_Toc182372782"/>
      <w:bookmarkStart w:id="92" w:name="_Toc259692740"/>
      <w:bookmarkStart w:id="93" w:name="_Toc191803626"/>
      <w:bookmarkStart w:id="94" w:name="_Toc181436565"/>
      <w:bookmarkStart w:id="95" w:name="_Toc213756051"/>
      <w:bookmarkStart w:id="96" w:name="_Toc232302115"/>
      <w:bookmarkStart w:id="97" w:name="_Toc230071147"/>
      <w:bookmarkStart w:id="98" w:name="_Toc267060453"/>
      <w:bookmarkStart w:id="99" w:name="_Toc211917116"/>
      <w:bookmarkStart w:id="100" w:name="_Toc267059806"/>
      <w:bookmarkStart w:id="101" w:name="_Toc253066614"/>
      <w:bookmarkStart w:id="102" w:name="_Toc267059919"/>
      <w:bookmarkStart w:id="103" w:name="_Toc267059030"/>
      <w:bookmarkStart w:id="104" w:name="_Toc255975007"/>
      <w:bookmarkStart w:id="105" w:name="_Toc213208766"/>
      <w:bookmarkStart w:id="106" w:name="_Toc259692647"/>
      <w:bookmarkStart w:id="107" w:name="_Toc254790899"/>
      <w:bookmarkStart w:id="108" w:name="_Toc217891402"/>
      <w:bookmarkStart w:id="109" w:name="_Toc273178698"/>
      <w:bookmarkStart w:id="110" w:name="_Toc267059539"/>
      <w:bookmarkStart w:id="111" w:name="_Toc267059653"/>
      <w:bookmarkStart w:id="112" w:name="_Toc267060321"/>
      <w:bookmarkStart w:id="113" w:name="_Toc251613829"/>
      <w:bookmarkStart w:id="114" w:name="_Toc267059181"/>
      <w:bookmarkStart w:id="115" w:name="_Toc267060208"/>
      <w:bookmarkStart w:id="116" w:name="_Toc225669322"/>
      <w:bookmarkStart w:id="117" w:name="_Toc267060068"/>
      <w:bookmarkStart w:id="118" w:name="_Toc259520865"/>
      <w:bookmarkStart w:id="119" w:name="_Toc266868670"/>
      <w:bookmarkStart w:id="120" w:name="_Toc266870907"/>
      <w:bookmarkStart w:id="121" w:name="_Toc236021449"/>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提交下述文件正本X份和副本X份。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质保期和售后服务承诺书（采购物品为一般货物时需要）</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6"/>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p>
    <w:p>
      <w:pPr>
        <w:jc w:val="center"/>
        <w:outlineLvl w:val="1"/>
        <w:rPr>
          <w:rFonts w:ascii="仿宋" w:hAnsi="仿宋" w:eastAsia="仿宋"/>
          <w:b/>
          <w:bCs/>
          <w:color w:val="000000"/>
          <w:sz w:val="28"/>
          <w:szCs w:val="28"/>
        </w:rPr>
      </w:pPr>
      <w:r>
        <w:rPr>
          <w:rFonts w:hint="eastAsia" w:ascii="仿宋" w:hAnsi="仿宋" w:eastAsia="仿宋"/>
          <w:b/>
          <w:bCs/>
          <w:color w:val="000000"/>
          <w:sz w:val="28"/>
          <w:szCs w:val="28"/>
          <w:lang w:val="en-US" w:eastAsia="zh-CN"/>
        </w:rPr>
        <w:t>2</w:t>
      </w:r>
      <w:r>
        <w:rPr>
          <w:rFonts w:hint="eastAsia" w:ascii="仿宋" w:hAnsi="仿宋" w:eastAsia="仿宋"/>
          <w:b/>
          <w:bCs/>
          <w:color w:val="000000"/>
          <w:sz w:val="28"/>
          <w:szCs w:val="28"/>
        </w:rPr>
        <w:t>、报价一览表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货币单位：</w:t>
      </w:r>
    </w:p>
    <w:tbl>
      <w:tblPr>
        <w:tblStyle w:val="23"/>
        <w:tblW w:w="9360" w:type="dxa"/>
        <w:tblInd w:w="105" w:type="dxa"/>
        <w:tblLayout w:type="fixed"/>
        <w:tblCellMar>
          <w:top w:w="0" w:type="dxa"/>
          <w:left w:w="108" w:type="dxa"/>
          <w:bottom w:w="0" w:type="dxa"/>
          <w:right w:w="108" w:type="dxa"/>
        </w:tblCellMar>
      </w:tblPr>
      <w:tblGrid>
        <w:gridCol w:w="705"/>
        <w:gridCol w:w="2385"/>
        <w:gridCol w:w="2070"/>
        <w:gridCol w:w="750"/>
        <w:gridCol w:w="756"/>
        <w:gridCol w:w="890"/>
        <w:gridCol w:w="968"/>
        <w:gridCol w:w="836"/>
      </w:tblGrid>
      <w:tr>
        <w:tblPrEx>
          <w:tblCellMar>
            <w:top w:w="0" w:type="dxa"/>
            <w:left w:w="108" w:type="dxa"/>
            <w:bottom w:w="0" w:type="dxa"/>
            <w:right w:w="108" w:type="dxa"/>
          </w:tblCellMar>
        </w:tblPrEx>
        <w:trPr>
          <w:trHeight w:val="285" w:hRule="atLeast"/>
        </w:trPr>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385"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07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详细参数</w:t>
            </w: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w:t>
            </w: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金额</w:t>
            </w:r>
          </w:p>
        </w:tc>
        <w:tc>
          <w:tcPr>
            <w:tcW w:w="83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备注</w:t>
            </w:r>
          </w:p>
        </w:tc>
      </w:tr>
      <w:tr>
        <w:tblPrEx>
          <w:tblCellMar>
            <w:top w:w="0" w:type="dxa"/>
            <w:left w:w="108" w:type="dxa"/>
            <w:bottom w:w="0" w:type="dxa"/>
            <w:right w:w="108" w:type="dxa"/>
          </w:tblCellMar>
        </w:tblPrEx>
        <w:trPr>
          <w:trHeight w:val="1004" w:hRule="atLeast"/>
        </w:trPr>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85"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学校官网改造服务</w:t>
            </w:r>
          </w:p>
        </w:tc>
        <w:tc>
          <w:tcPr>
            <w:tcW w:w="2070"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详见附件</w:t>
            </w: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1</w:t>
            </w: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项</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836"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81" w:hRule="atLeast"/>
        </w:trPr>
        <w:tc>
          <w:tcPr>
            <w:tcW w:w="7556" w:type="dxa"/>
            <w:gridSpan w:val="6"/>
            <w:tcBorders>
              <w:top w:val="single" w:color="auto" w:sz="4" w:space="0"/>
              <w:left w:val="single" w:color="auto" w:sz="4" w:space="0"/>
              <w:bottom w:val="single" w:color="auto" w:sz="4" w:space="0"/>
              <w:right w:val="single" w:color="000000" w:sz="4" w:space="0"/>
            </w:tcBorders>
            <w:noWrap/>
            <w:vAlign w:val="center"/>
          </w:tcPr>
          <w:p>
            <w:pPr>
              <w:spacing w:after="0"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合计</w:t>
            </w:r>
            <w:r>
              <w:rPr>
                <w:rFonts w:hint="eastAsia" w:ascii="仿宋" w:hAnsi="仿宋" w:eastAsia="仿宋" w:cs="仿宋"/>
                <w:b/>
                <w:bCs/>
                <w:color w:val="auto"/>
                <w:sz w:val="24"/>
                <w:szCs w:val="24"/>
                <w:lang w:val="en-US" w:eastAsia="zh-CN"/>
              </w:rPr>
              <w:t>金额</w:t>
            </w:r>
          </w:p>
        </w:tc>
        <w:tc>
          <w:tcPr>
            <w:tcW w:w="968" w:type="dxa"/>
            <w:tcBorders>
              <w:top w:val="single" w:color="auto" w:sz="4" w:space="0"/>
              <w:left w:val="nil"/>
              <w:bottom w:val="single" w:color="auto" w:sz="4" w:space="0"/>
              <w:right w:val="single" w:color="auto" w:sz="4" w:space="0"/>
            </w:tcBorders>
            <w:noWrap/>
            <w:vAlign w:val="center"/>
          </w:tcPr>
          <w:p>
            <w:pPr>
              <w:spacing w:after="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tc>
        <w:tc>
          <w:tcPr>
            <w:tcW w:w="836" w:type="dxa"/>
            <w:tcBorders>
              <w:top w:val="single" w:color="auto" w:sz="4" w:space="0"/>
              <w:left w:val="nil"/>
              <w:bottom w:val="single" w:color="auto" w:sz="4" w:space="0"/>
              <w:right w:val="single" w:color="auto" w:sz="4" w:space="0"/>
            </w:tcBorders>
            <w:noWrap/>
            <w:vAlign w:val="center"/>
          </w:tcPr>
          <w:p>
            <w:pPr>
              <w:spacing w:after="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tc>
      </w:tr>
    </w:tbl>
    <w:p>
      <w:pPr>
        <w:keepNext w:val="0"/>
        <w:keepLines w:val="0"/>
        <w:pageBreakBefore w:val="0"/>
        <w:widowControl/>
        <w:kinsoku/>
        <w:wordWrap/>
        <w:overflowPunct/>
        <w:topLinePunct w:val="0"/>
        <w:autoSpaceDE/>
        <w:autoSpaceDN/>
        <w:bidi w:val="0"/>
        <w:adjustRightInd/>
        <w:snapToGrid/>
        <w:spacing w:after="0" w:line="44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如果按单价计算的结果与总价不一致,以单价为准修正总价。</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如果不提供详细参数和报价将视为没有实质性响应公开询价文件。</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840" w:firstLineChars="3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3.以上报价包含税费等一切费用，卖方需开具足额的增值税普通发票。</w:t>
      </w:r>
    </w:p>
    <w:p>
      <w:pPr>
        <w:spacing w:after="0" w:line="300" w:lineRule="exact"/>
        <w:ind w:firstLine="560" w:firstLineChars="200"/>
        <w:rPr>
          <w:rFonts w:ascii="仿宋" w:hAnsi="仿宋" w:eastAsia="仿宋"/>
          <w:color w:val="auto"/>
          <w:sz w:val="28"/>
          <w:szCs w:val="28"/>
          <w:lang w:val="zh-CN"/>
        </w:rPr>
      </w:pPr>
    </w:p>
    <w:p>
      <w:pPr>
        <w:spacing w:line="380" w:lineRule="exact"/>
        <w:rPr>
          <w:rFonts w:ascii="仿宋" w:hAnsi="仿宋" w:eastAsia="仿宋"/>
          <w:color w:val="auto"/>
          <w:sz w:val="28"/>
          <w:szCs w:val="28"/>
          <w:lang w:val="zh-CN"/>
        </w:rPr>
      </w:pPr>
    </w:p>
    <w:p>
      <w:pPr>
        <w:spacing w:line="360" w:lineRule="auto"/>
        <w:ind w:right="960"/>
        <w:jc w:val="right"/>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22" w:name="_Toc182805222"/>
      <w:bookmarkStart w:id="123" w:name="_Toc213756057"/>
      <w:bookmarkStart w:id="124" w:name="_Toc266870839"/>
      <w:bookmarkStart w:id="125" w:name="_Toc225669328"/>
      <w:bookmarkStart w:id="126" w:name="_Toc193165739"/>
      <w:bookmarkStart w:id="127" w:name="_Toc191783227"/>
      <w:bookmarkStart w:id="128" w:name="_Toc235437998"/>
      <w:bookmarkStart w:id="129" w:name="_Toc273178703"/>
      <w:bookmarkStart w:id="130" w:name="_Toc170798798"/>
      <w:bookmarkStart w:id="131" w:name="_Toc259692656"/>
      <w:bookmarkStart w:id="132" w:name="_Toc180302918"/>
      <w:bookmarkStart w:id="133" w:name="_Toc251613839"/>
      <w:bookmarkStart w:id="134" w:name="_Toc181436466"/>
      <w:bookmarkStart w:id="135" w:name="_Toc230071153"/>
      <w:bookmarkStart w:id="136" w:name="_Toc217891408"/>
      <w:bookmarkStart w:id="137" w:name="_Toc259520874"/>
      <w:bookmarkStart w:id="138" w:name="_Toc259692749"/>
      <w:bookmarkStart w:id="139" w:name="_Toc251586241"/>
      <w:bookmarkStart w:id="140" w:name="_Toc213756001"/>
      <w:bookmarkStart w:id="141" w:name="_Toc182372787"/>
      <w:bookmarkStart w:id="142" w:name="_Toc235438281"/>
      <w:bookmarkStart w:id="143" w:name="_Toc191789334"/>
      <w:bookmarkStart w:id="144" w:name="_Toc181436570"/>
      <w:bookmarkStart w:id="145" w:name="_Toc192663840"/>
      <w:bookmarkStart w:id="146" w:name="_Toc160880534"/>
      <w:bookmarkStart w:id="147" w:name="_Toc249325720"/>
      <w:bookmarkStart w:id="148" w:name="_Toc213208771"/>
      <w:bookmarkStart w:id="149" w:name="_Toc192664158"/>
      <w:bookmarkStart w:id="150" w:name="_Toc169332843"/>
      <w:bookmarkStart w:id="151" w:name="_Toc223146614"/>
      <w:bookmarkStart w:id="152" w:name="_Toc169332954"/>
      <w:bookmarkStart w:id="153" w:name="_Toc191803631"/>
      <w:bookmarkStart w:id="154" w:name="_Toc192663691"/>
      <w:bookmarkStart w:id="155" w:name="_Toc191802695"/>
      <w:bookmarkStart w:id="156" w:name="_Toc258401265"/>
      <w:bookmarkStart w:id="157" w:name="_Toc177985474"/>
      <w:bookmarkStart w:id="158" w:name="_Toc160880165"/>
      <w:bookmarkStart w:id="159" w:name="_Toc213755945"/>
      <w:bookmarkStart w:id="160" w:name="_Toc203355738"/>
      <w:bookmarkStart w:id="161" w:name="_Toc267059186"/>
      <w:bookmarkStart w:id="162" w:name="_Toc232302122"/>
      <w:bookmarkStart w:id="163" w:name="_Toc267059035"/>
      <w:bookmarkStart w:id="164" w:name="_Toc267060076"/>
      <w:bookmarkStart w:id="165" w:name="_Toc267060216"/>
      <w:bookmarkStart w:id="166" w:name="_Toc267060326"/>
      <w:bookmarkStart w:id="167" w:name="_Toc192996451"/>
      <w:bookmarkStart w:id="168" w:name="_Toc192996343"/>
      <w:bookmarkStart w:id="169" w:name="_Toc267059811"/>
      <w:bookmarkStart w:id="170" w:name="_Toc266870916"/>
      <w:bookmarkStart w:id="171" w:name="_Toc236021457"/>
      <w:bookmarkStart w:id="172" w:name="_Toc213755864"/>
      <w:bookmarkStart w:id="173" w:name="_Toc266870441"/>
      <w:bookmarkStart w:id="174" w:name="_Toc193160453"/>
      <w:bookmarkStart w:id="175" w:name="_Toc267059924"/>
      <w:bookmarkStart w:id="176" w:name="_Toc235438352"/>
      <w:bookmarkStart w:id="177" w:name="_Toc211917121"/>
      <w:bookmarkStart w:id="178" w:name="_Toc267060461"/>
      <w:bookmarkStart w:id="179" w:name="_Toc227058536"/>
      <w:bookmarkStart w:id="180" w:name="_Toc254790909"/>
      <w:bookmarkStart w:id="181" w:name="_Toc253066624"/>
      <w:bookmarkStart w:id="182" w:name="_Toc266868943"/>
      <w:bookmarkStart w:id="183" w:name="_Toc255975016"/>
      <w:bookmarkStart w:id="184" w:name="_Toc267059544"/>
      <w:bookmarkStart w:id="185" w:name="_Toc219800249"/>
      <w:bookmarkStart w:id="186" w:name="_Toc266868679"/>
      <w:bookmarkStart w:id="187" w:name="_Toc267059658"/>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6"/>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8" w:name="_Toc255975017"/>
      <w:bookmarkStart w:id="189" w:name="_Toc259520875"/>
      <w:bookmarkStart w:id="190" w:name="_Toc251613840"/>
      <w:bookmarkStart w:id="191" w:name="_Toc267060217"/>
      <w:bookmarkStart w:id="192" w:name="_Toc266870917"/>
      <w:bookmarkStart w:id="193" w:name="_Toc258401266"/>
      <w:bookmarkStart w:id="194" w:name="_Toc251586242"/>
      <w:bookmarkStart w:id="195" w:name="_Toc225669329"/>
      <w:bookmarkStart w:id="196" w:name="_Toc267060462"/>
      <w:bookmarkStart w:id="197" w:name="_Toc219800250"/>
      <w:bookmarkStart w:id="198" w:name="_Toc259692750"/>
      <w:bookmarkStart w:id="199" w:name="_Toc254790910"/>
      <w:bookmarkStart w:id="200" w:name="_Toc213756058"/>
      <w:bookmarkStart w:id="201" w:name="_Toc266870442"/>
      <w:bookmarkStart w:id="202" w:name="_Toc249325721"/>
      <w:bookmarkStart w:id="203" w:name="_Toc253066625"/>
      <w:bookmarkStart w:id="204" w:name="_Toc232302123"/>
      <w:bookmarkStart w:id="205" w:name="_Toc235438282"/>
      <w:bookmarkStart w:id="206" w:name="_Toc235438353"/>
      <w:bookmarkStart w:id="207" w:name="_Toc235437999"/>
      <w:bookmarkStart w:id="208" w:name="_Toc217891409"/>
      <w:bookmarkStart w:id="209" w:name="_Toc267060077"/>
      <w:bookmarkStart w:id="210" w:name="_Toc266868680"/>
      <w:bookmarkStart w:id="211" w:name="_Toc259692657"/>
      <w:bookmarkStart w:id="212" w:name="_Toc223146615"/>
      <w:bookmarkStart w:id="213" w:name="_Toc227058537"/>
      <w:bookmarkStart w:id="214" w:name="_Toc236021458"/>
      <w:bookmarkStart w:id="215" w:name="_Toc230071154"/>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6" w:name="_Hlk511663739"/>
      <w:r>
        <w:rPr>
          <w:rFonts w:hint="eastAsia" w:ascii="仿宋" w:hAnsi="仿宋" w:eastAsia="仿宋"/>
          <w:color w:val="auto"/>
          <w:sz w:val="28"/>
          <w:szCs w:val="28"/>
          <w:lang w:eastAsia="zh-CN"/>
        </w:rPr>
        <w:t>广州松田职业学院</w:t>
      </w:r>
      <w:r>
        <w:rPr>
          <w:rFonts w:hint="eastAsia" w:ascii="仿宋" w:hAnsi="仿宋" w:eastAsia="仿宋"/>
          <w:color w:val="auto"/>
          <w:sz w:val="28"/>
          <w:szCs w:val="28"/>
        </w:rPr>
        <w:t>：</w:t>
      </w:r>
      <w:bookmarkEnd w:id="216"/>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2．我方的资格声明正本X份，副本X份，随报价响应文件一同递交。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7" w:name="_Toc236021459"/>
      <w:bookmarkStart w:id="218" w:name="_Toc249325722"/>
      <w:bookmarkStart w:id="219" w:name="_Toc259692751"/>
      <w:bookmarkStart w:id="220" w:name="_Toc232302124"/>
      <w:bookmarkStart w:id="221" w:name="_Toc217891410"/>
      <w:bookmarkStart w:id="222" w:name="_Toc223146616"/>
      <w:bookmarkStart w:id="223" w:name="_Toc235438000"/>
      <w:bookmarkStart w:id="224" w:name="_Toc230071155"/>
      <w:bookmarkStart w:id="225" w:name="_Toc235438283"/>
      <w:bookmarkStart w:id="226" w:name="_Toc219800251"/>
      <w:bookmarkStart w:id="227" w:name="_Toc258401267"/>
      <w:bookmarkStart w:id="228" w:name="_Toc213756059"/>
      <w:bookmarkStart w:id="229" w:name="_Toc253066626"/>
      <w:bookmarkStart w:id="230" w:name="_Toc255975018"/>
      <w:bookmarkStart w:id="231" w:name="_Toc254790911"/>
      <w:bookmarkStart w:id="232" w:name="_Toc235438354"/>
      <w:bookmarkStart w:id="233" w:name="_Toc251586243"/>
      <w:bookmarkStart w:id="234" w:name="_Toc259692658"/>
      <w:bookmarkStart w:id="235" w:name="_Toc259520876"/>
      <w:bookmarkStart w:id="236" w:name="_Toc225669330"/>
      <w:bookmarkStart w:id="237" w:name="_Toc227058538"/>
      <w:bookmarkStart w:id="238" w:name="_Toc266870443"/>
      <w:bookmarkStart w:id="239" w:name="_Toc251613841"/>
      <w:bookmarkStart w:id="240" w:name="_Toc266868681"/>
      <w:bookmarkStart w:id="241" w:name="_Toc266870918"/>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42" w:name="_Toc267060220"/>
      <w:bookmarkStart w:id="243" w:name="_Toc259692756"/>
      <w:bookmarkStart w:id="244" w:name="_Toc266868684"/>
      <w:bookmarkStart w:id="245" w:name="_Toc235438003"/>
      <w:bookmarkStart w:id="246" w:name="_Toc266870447"/>
      <w:bookmarkStart w:id="247" w:name="_Toc267060466"/>
      <w:bookmarkStart w:id="248" w:name="_Toc232302127"/>
      <w:bookmarkStart w:id="249" w:name="_Toc235438286"/>
      <w:bookmarkStart w:id="250" w:name="_Toc266870922"/>
      <w:bookmarkStart w:id="251" w:name="_Toc249325725"/>
      <w:bookmarkStart w:id="252" w:name="_Toc251586246"/>
      <w:bookmarkStart w:id="253" w:name="_Toc182372790"/>
      <w:bookmarkStart w:id="254" w:name="_Toc236021462"/>
      <w:bookmarkStart w:id="255" w:name="_Toc253066629"/>
      <w:bookmarkStart w:id="256" w:name="_Toc259692663"/>
      <w:bookmarkStart w:id="257" w:name="_Toc254790914"/>
      <w:bookmarkStart w:id="258" w:name="_Toc192663694"/>
      <w:bookmarkStart w:id="259" w:name="_Toc181436469"/>
      <w:bookmarkStart w:id="260" w:name="_Toc170798801"/>
      <w:bookmarkStart w:id="261" w:name="_Toc255975023"/>
      <w:bookmarkStart w:id="262" w:name="_Toc259520881"/>
      <w:bookmarkStart w:id="263" w:name="_Toc182805225"/>
      <w:bookmarkStart w:id="264" w:name="_Toc267060081"/>
      <w:bookmarkStart w:id="265" w:name="_Toc160880168"/>
      <w:bookmarkStart w:id="266" w:name="_Toc266870921"/>
      <w:bookmarkStart w:id="267" w:name="_Toc235438357"/>
      <w:bookmarkStart w:id="268" w:name="_Toc181436573"/>
      <w:bookmarkStart w:id="269" w:name="_Toc267060221"/>
      <w:bookmarkStart w:id="270" w:name="_Toc266868686"/>
      <w:bookmarkStart w:id="271" w:name="_Toc177985477"/>
      <w:bookmarkStart w:id="272" w:name="_Toc251613844"/>
      <w:bookmarkStart w:id="273" w:name="_Toc169332846"/>
      <w:bookmarkStart w:id="274" w:name="_Toc259692661"/>
      <w:bookmarkStart w:id="275" w:name="_Toc203355741"/>
      <w:bookmarkStart w:id="276" w:name="_Toc259520879"/>
      <w:bookmarkStart w:id="277" w:name="_Toc160880537"/>
      <w:bookmarkStart w:id="278" w:name="_Toc211917124"/>
      <w:bookmarkStart w:id="279" w:name="_Toc258401270"/>
      <w:bookmarkStart w:id="280" w:name="_Toc191783230"/>
      <w:bookmarkStart w:id="281" w:name="_Toc267060080"/>
      <w:bookmarkStart w:id="282" w:name="_Toc191802698"/>
      <w:bookmarkStart w:id="283" w:name="_Toc254790916"/>
      <w:bookmarkStart w:id="284" w:name="_Toc255975021"/>
      <w:bookmarkStart w:id="285" w:name="_Toc266870446"/>
      <w:bookmarkStart w:id="286" w:name="_Toc193165742"/>
      <w:bookmarkStart w:id="287" w:name="_Toc258401272"/>
      <w:bookmarkStart w:id="288" w:name="_Toc169332957"/>
      <w:bookmarkStart w:id="289" w:name="_Toc180302921"/>
      <w:bookmarkStart w:id="290" w:name="_Toc259692754"/>
      <w:bookmarkStart w:id="291" w:name="_Toc191803634"/>
      <w:bookmarkStart w:id="292" w:name="_Toc192664161"/>
      <w:bookmarkStart w:id="293" w:name="_Toc267060465"/>
      <w:bookmarkStart w:id="294" w:name="_Toc191789337"/>
      <w:bookmarkStart w:id="295" w:name="_Toc192996454"/>
      <w:bookmarkStart w:id="296" w:name="_Toc192663843"/>
      <w:bookmarkStart w:id="297" w:name="_Toc193160456"/>
      <w:bookmarkStart w:id="298" w:name="_Toc192996346"/>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Pr>
        <w:spacing w:after="0" w:line="480" w:lineRule="exact"/>
        <w:ind w:firstLine="570"/>
        <w:jc w:val="center"/>
        <w:rPr>
          <w:rFonts w:ascii="仿宋" w:hAnsi="仿宋" w:eastAsia="仿宋"/>
          <w:b/>
          <w:bCs/>
          <w:color w:val="auto"/>
          <w:sz w:val="28"/>
          <w:szCs w:val="28"/>
        </w:rPr>
      </w:pPr>
      <w:bookmarkStart w:id="299" w:name="_Toc253066630"/>
      <w:bookmarkStart w:id="300" w:name="_Toc266870840"/>
      <w:bookmarkStart w:id="301" w:name="_Toc267060222"/>
      <w:bookmarkStart w:id="302" w:name="_Toc267060082"/>
      <w:bookmarkStart w:id="303" w:name="_Toc258401273"/>
      <w:bookmarkStart w:id="304" w:name="_Toc259692757"/>
      <w:bookmarkStart w:id="305" w:name="_Toc232302128"/>
      <w:bookmarkStart w:id="306" w:name="_Toc255975024"/>
      <w:bookmarkStart w:id="307" w:name="_Toc267059545"/>
      <w:bookmarkStart w:id="308" w:name="_Toc259520882"/>
      <w:bookmarkStart w:id="309" w:name="_Toc267059187"/>
      <w:bookmarkStart w:id="310" w:name="_Toc235438287"/>
      <w:bookmarkStart w:id="311" w:name="_Toc235438004"/>
      <w:bookmarkStart w:id="312" w:name="_Toc251613845"/>
      <w:bookmarkStart w:id="313" w:name="_Toc267059036"/>
      <w:bookmarkStart w:id="314" w:name="_Toc267060327"/>
      <w:bookmarkStart w:id="315" w:name="_Toc267059925"/>
      <w:bookmarkStart w:id="316" w:name="_Toc267059659"/>
      <w:bookmarkStart w:id="317" w:name="_Toc266870448"/>
      <w:bookmarkStart w:id="318" w:name="_Toc236021463"/>
      <w:bookmarkStart w:id="319" w:name="_Toc266870923"/>
      <w:bookmarkStart w:id="320" w:name="_Toc254790917"/>
      <w:bookmarkStart w:id="321" w:name="_Toc266868687"/>
      <w:bookmarkStart w:id="322" w:name="_Toc251586247"/>
      <w:bookmarkStart w:id="323" w:name="_Toc267060467"/>
      <w:bookmarkStart w:id="324" w:name="_Toc273178704"/>
      <w:bookmarkStart w:id="325" w:name="_Toc267059812"/>
      <w:bookmarkStart w:id="326" w:name="_Toc266868944"/>
      <w:bookmarkStart w:id="327" w:name="_Toc259692664"/>
      <w:bookmarkStart w:id="328" w:name="_Toc249325726"/>
      <w:bookmarkStart w:id="329" w:name="_Toc235438358"/>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tbl>
      <w:tblPr>
        <w:tblStyle w:val="23"/>
        <w:tblpPr w:leftFromText="180" w:rightFromText="180" w:vertAnchor="text" w:horzAnchor="page" w:tblpX="355" w:tblpY="-9406"/>
        <w:tblOverlap w:val="never"/>
        <w:tblW w:w="11070" w:type="dxa"/>
        <w:tblInd w:w="0" w:type="dxa"/>
        <w:shd w:val="clear" w:color="auto" w:fill="auto"/>
        <w:tblLayout w:type="autofit"/>
        <w:tblCellMar>
          <w:top w:w="0" w:type="dxa"/>
          <w:left w:w="0" w:type="dxa"/>
          <w:bottom w:w="0" w:type="dxa"/>
          <w:right w:w="0" w:type="dxa"/>
        </w:tblCellMar>
      </w:tblPr>
      <w:tblGrid>
        <w:gridCol w:w="794"/>
        <w:gridCol w:w="1329"/>
        <w:gridCol w:w="932"/>
        <w:gridCol w:w="1632"/>
        <w:gridCol w:w="1399"/>
        <w:gridCol w:w="1889"/>
        <w:gridCol w:w="1724"/>
        <w:gridCol w:w="1371"/>
      </w:tblGrid>
      <w:tr>
        <w:tblPrEx>
          <w:shd w:val="clear" w:color="auto" w:fill="auto"/>
          <w:tblCellMar>
            <w:top w:w="0" w:type="dxa"/>
            <w:left w:w="0" w:type="dxa"/>
            <w:bottom w:w="0" w:type="dxa"/>
            <w:right w:w="0" w:type="dxa"/>
          </w:tblCellMar>
        </w:tblPrEx>
        <w:trPr>
          <w:trHeight w:val="1068" w:hRule="atLeast"/>
        </w:trPr>
        <w:tc>
          <w:tcPr>
            <w:tcW w:w="11070"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校外进校人员疫情防控排查表</w:t>
            </w:r>
          </w:p>
        </w:tc>
      </w:tr>
      <w:tr>
        <w:tblPrEx>
          <w:shd w:val="clear" w:color="auto" w:fill="auto"/>
          <w:tblCellMar>
            <w:top w:w="0" w:type="dxa"/>
            <w:left w:w="0" w:type="dxa"/>
            <w:bottom w:w="0" w:type="dxa"/>
            <w:right w:w="0" w:type="dxa"/>
          </w:tblCellMar>
        </w:tblPrEx>
        <w:trPr>
          <w:trHeight w:val="822" w:hRule="atLeast"/>
        </w:trPr>
        <w:tc>
          <w:tcPr>
            <w:tcW w:w="1107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单位：              填报人：           联系电话：         进校时间：  年   月   日（上午/下午）                            </w:t>
            </w:r>
          </w:p>
        </w:tc>
      </w:tr>
      <w:tr>
        <w:tblPrEx>
          <w:shd w:val="clear" w:color="auto" w:fill="auto"/>
          <w:tblCellMar>
            <w:top w:w="0" w:type="dxa"/>
            <w:left w:w="0" w:type="dxa"/>
            <w:bottom w:w="0" w:type="dxa"/>
            <w:right w:w="0" w:type="dxa"/>
          </w:tblCellMar>
        </w:tblPrEx>
        <w:trPr>
          <w:trHeight w:val="979"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居住地址</w:t>
            </w:r>
          </w:p>
        </w:tc>
        <w:tc>
          <w:tcPr>
            <w:tcW w:w="1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近期曾到     湖北省</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近期有亲友从湖北            或以外地区来访（注明地区）</w:t>
            </w:r>
          </w:p>
        </w:tc>
        <w:tc>
          <w:tcPr>
            <w:tcW w:w="17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14天内去向          （注明地区）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目前身体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健康状况</w:t>
            </w: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20" w:hRule="atLeast"/>
        </w:trPr>
        <w:tc>
          <w:tcPr>
            <w:tcW w:w="1107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注：1.人员进入校园须经门卫检测体温，体温正常并经校方许可方可进入施工场所。</w:t>
            </w:r>
          </w:p>
        </w:tc>
      </w:tr>
    </w:tbl>
    <w:p>
      <w:pPr>
        <w:spacing w:line="380" w:lineRule="exac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注：此表须在递交报价响应文件前一天盖章扫描发至公共邮箱</w:t>
      </w:r>
      <w:r>
        <w:rPr>
          <w:rStyle w:val="27"/>
          <w:rFonts w:hint="eastAsia" w:ascii="仿宋" w:hAnsi="仿宋" w:eastAsia="仿宋"/>
          <w:b/>
          <w:bCs/>
          <w:color w:val="auto"/>
          <w:sz w:val="28"/>
          <w:szCs w:val="28"/>
          <w:u w:val="none"/>
        </w:rPr>
        <w:t>sontan@aliyun.com</w:t>
      </w:r>
      <w:r>
        <w:rPr>
          <w:rStyle w:val="27"/>
          <w:rFonts w:hint="eastAsia" w:ascii="仿宋" w:hAnsi="仿宋" w:eastAsia="仿宋"/>
          <w:b/>
          <w:bCs/>
          <w:color w:val="auto"/>
          <w:sz w:val="28"/>
          <w:szCs w:val="28"/>
          <w:u w:val="none"/>
          <w:lang w:eastAsia="zh-CN"/>
        </w:rPr>
        <w:t>。</w:t>
      </w:r>
    </w:p>
    <w:p>
      <w:pPr>
        <w:spacing w:line="380" w:lineRule="exact"/>
        <w:rPr>
          <w:rFonts w:ascii="仿宋" w:hAnsi="仿宋" w:eastAsia="仿宋"/>
          <w:sz w:val="28"/>
          <w:szCs w:val="28"/>
        </w:rPr>
      </w:pPr>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1001938744"/>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1705238520"/>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467357217"/>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455225834"/>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color w:val="auto"/>
        <w:lang w:eastAsia="zh-CN"/>
      </w:rPr>
      <w:drawing>
        <wp:inline distT="0" distB="0" distL="114300" distR="114300">
          <wp:extent cx="1238885" cy="360680"/>
          <wp:effectExtent l="0" t="0" r="18415" b="127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238885" cy="3606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color w:val="auto"/>
        <w:lang w:eastAsia="zh-CN"/>
      </w:rPr>
      <w:drawing>
        <wp:inline distT="0" distB="0" distL="114300" distR="114300">
          <wp:extent cx="1238885" cy="360680"/>
          <wp:effectExtent l="0" t="0" r="18415" b="127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238885" cy="36068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013405"/>
    <w:multiLevelType w:val="singleLevel"/>
    <w:tmpl w:val="F8013405"/>
    <w:lvl w:ilvl="0" w:tentative="0">
      <w:start w:val="2"/>
      <w:numFmt w:val="chineseCounting"/>
      <w:suff w:val="nothing"/>
      <w:lvlText w:val="%1、"/>
      <w:lvlJc w:val="left"/>
      <w:rPr>
        <w:rFonts w:hint="eastAsia"/>
      </w:rPr>
    </w:lvl>
  </w:abstractNum>
  <w:abstractNum w:abstractNumId="1">
    <w:nsid w:val="FA6C80B5"/>
    <w:multiLevelType w:val="singleLevel"/>
    <w:tmpl w:val="FA6C80B5"/>
    <w:lvl w:ilvl="0" w:tentative="0">
      <w:start w:val="7"/>
      <w:numFmt w:val="decimal"/>
      <w:suff w:val="nothing"/>
      <w:lvlText w:val="%1、"/>
      <w:lvlJc w:val="left"/>
    </w:lvl>
  </w:abstractNum>
  <w:abstractNum w:abstractNumId="2">
    <w:nsid w:val="FDB95EAB"/>
    <w:multiLevelType w:val="singleLevel"/>
    <w:tmpl w:val="FDB95EAB"/>
    <w:lvl w:ilvl="0" w:tentative="0">
      <w:start w:val="1"/>
      <w:numFmt w:val="chineseCounting"/>
      <w:suff w:val="nothing"/>
      <w:lvlText w:val="%1、"/>
      <w:lvlJc w:val="left"/>
      <w:rPr>
        <w:rFonts w:hint="eastAsia"/>
      </w:rPr>
    </w:lvl>
  </w:abstractNum>
  <w:abstractNum w:abstractNumId="3">
    <w:nsid w:val="2F575EEB"/>
    <w:multiLevelType w:val="singleLevel"/>
    <w:tmpl w:val="2F575EEB"/>
    <w:lvl w:ilvl="0" w:tentative="0">
      <w:start w:val="3"/>
      <w:numFmt w:val="decimal"/>
      <w:suff w:val="nothing"/>
      <w:lvlText w:val="%1、"/>
      <w:lvlJc w:val="left"/>
    </w:lvl>
  </w:abstractNum>
  <w:abstractNum w:abstractNumId="4">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26D0288"/>
    <w:rsid w:val="29C2665D"/>
    <w:rsid w:val="6BC0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uiPriority w:val="99"/>
    <w:pPr>
      <w:spacing w:after="120"/>
    </w:pPr>
  </w:style>
  <w:style w:type="paragraph" w:styleId="14">
    <w:name w:val="toc 3"/>
    <w:basedOn w:val="1"/>
    <w:next w:val="1"/>
    <w:unhideWhenUsed/>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semiHidden/>
    <w:unhideWhenUsed/>
    <w:qFormat/>
    <w:uiPriority w:val="99"/>
    <w:rPr>
      <w:color w:val="0000FF"/>
      <w:u w:val="single"/>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paragraph" w:customStyle="1" w:styleId="6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2020-12-25T02:20:43Z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