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广州大学松田学院</w:t>
      </w:r>
    </w:p>
    <w:p>
      <w:pPr>
        <w:spacing w:line="1000" w:lineRule="exact"/>
        <w:jc w:val="center"/>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rPr>
        <w:t>关于日志审计系统</w:t>
      </w:r>
      <w:r>
        <w:rPr>
          <w:rFonts w:hint="eastAsia" w:ascii="仿宋" w:hAnsi="仿宋" w:eastAsia="仿宋" w:cs="仿宋"/>
          <w:b/>
          <w:bCs w:val="0"/>
          <w:color w:val="auto"/>
          <w:sz w:val="36"/>
          <w:szCs w:val="36"/>
          <w:lang w:val="en-US" w:eastAsia="zh-CN"/>
        </w:rPr>
        <w:t>采购</w:t>
      </w:r>
      <w:r>
        <w:rPr>
          <w:rFonts w:hint="eastAsia" w:ascii="仿宋" w:hAnsi="仿宋" w:eastAsia="仿宋" w:cs="仿宋"/>
          <w:b/>
          <w:bCs w:val="0"/>
          <w:color w:val="auto"/>
          <w:sz w:val="36"/>
          <w:szCs w:val="36"/>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530" w:firstLineChars="700"/>
        <w:rPr>
          <w:rFonts w:hint="default" w:ascii="仿宋" w:hAnsi="仿宋" w:eastAsia="仿宋"/>
          <w:b/>
          <w:color w:val="FF0000"/>
          <w:sz w:val="36"/>
          <w:szCs w:val="36"/>
          <w:lang w:val="en-US" w:eastAsia="zh-CN"/>
        </w:rPr>
      </w:pPr>
      <w:r>
        <w:rPr>
          <w:rFonts w:hint="eastAsia" w:ascii="仿宋" w:hAnsi="仿宋" w:eastAsia="仿宋"/>
          <w:b/>
          <w:sz w:val="36"/>
          <w:szCs w:val="36"/>
        </w:rPr>
        <w:t>项目编号：</w:t>
      </w:r>
      <w:r>
        <w:rPr>
          <w:rFonts w:hint="eastAsia" w:ascii="仿宋" w:hAnsi="仿宋" w:eastAsia="仿宋"/>
          <w:b/>
          <w:sz w:val="36"/>
          <w:szCs w:val="36"/>
          <w:lang w:val="en-US" w:eastAsia="zh-CN"/>
        </w:rPr>
        <w:t>A-XJ2020-29</w:t>
      </w:r>
    </w:p>
    <w:p>
      <w:pPr>
        <w:spacing w:line="500" w:lineRule="exact"/>
        <w:ind w:left="4317" w:leftChars="1141" w:hanging="1807" w:hangingChars="500"/>
        <w:rPr>
          <w:rFonts w:hint="eastAsia" w:ascii="仿宋" w:hAnsi="仿宋" w:eastAsia="仿宋" w:cs="仿宋"/>
          <w:b/>
          <w:color w:val="auto"/>
          <w:sz w:val="36"/>
          <w:szCs w:val="36"/>
          <w:lang w:val="en-US" w:eastAsia="zh-CN"/>
        </w:rPr>
        <w:sectPr>
          <w:headerReference r:id="rId3" w:type="default"/>
          <w:footerReference r:id="rId4" w:type="default"/>
          <w:pgSz w:w="11906" w:h="16838"/>
          <w:pgMar w:top="1440" w:right="1416" w:bottom="1440" w:left="1134" w:header="851" w:footer="227" w:gutter="0"/>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66870386"/>
      <w:bookmarkStart w:id="5" w:name="_Toc266868624"/>
      <w:bookmarkStart w:id="6" w:name="_Toc267059161"/>
      <w:bookmarkStart w:id="7" w:name="_Toc267059519"/>
      <w:bookmarkStart w:id="8" w:name="_Toc267059633"/>
      <w:bookmarkStart w:id="9" w:name="_Toc267059010"/>
      <w:bookmarkStart w:id="10" w:name="_Toc235438297"/>
      <w:bookmarkStart w:id="11" w:name="_Toc251613780"/>
      <w:bookmarkStart w:id="12" w:name="_Toc267059786"/>
      <w:bookmarkStart w:id="13" w:name="_Toc267060407"/>
      <w:bookmarkStart w:id="14" w:name="_Toc273178686"/>
      <w:bookmarkStart w:id="15" w:name="_Toc212530253"/>
      <w:bookmarkStart w:id="16" w:name="_Toc259692600"/>
      <w:bookmarkStart w:id="17" w:name="_Toc253066567"/>
      <w:bookmarkStart w:id="18" w:name="_Toc227058483"/>
      <w:bookmarkStart w:id="19" w:name="_Toc266868924"/>
      <w:bookmarkStart w:id="20" w:name="_Toc267059899"/>
      <w:bookmarkStart w:id="21" w:name="_Toc266870861"/>
      <w:bookmarkStart w:id="22" w:name="_Toc169332794"/>
      <w:bookmarkStart w:id="23" w:name="_Toc219800200"/>
      <w:bookmarkStart w:id="24" w:name="_Toc235438227"/>
      <w:bookmarkStart w:id="25" w:name="_Toc177985424"/>
      <w:bookmarkStart w:id="26" w:name="_Toc212526081"/>
      <w:bookmarkStart w:id="27" w:name="_Toc259520819"/>
      <w:bookmarkStart w:id="28" w:name="_Toc255974963"/>
      <w:bookmarkStart w:id="29" w:name="_Toc211937196"/>
      <w:bookmarkStart w:id="30" w:name="_Toc254790852"/>
      <w:bookmarkStart w:id="31" w:name="_Toc212454753"/>
      <w:bookmarkStart w:id="32" w:name="_Toc207014580"/>
      <w:bookmarkStart w:id="33" w:name="_Toc249325665"/>
      <w:bookmarkStart w:id="34" w:name="_Toc267060162"/>
      <w:bookmarkStart w:id="35" w:name="_Toc212456146"/>
      <w:bookmarkStart w:id="36" w:name="_Toc259692693"/>
      <w:bookmarkStart w:id="37" w:name="_Toc251586187"/>
      <w:bookmarkStart w:id="38" w:name="_Toc170798743"/>
      <w:bookmarkStart w:id="39" w:name="_Toc236021402"/>
      <w:bookmarkStart w:id="40" w:name="_Toc223146565"/>
      <w:bookmarkStart w:id="41" w:name="_Toc216241307"/>
      <w:bookmarkStart w:id="42" w:name="_Toc258401210"/>
      <w:bookmarkStart w:id="43" w:name="_Toc169332904"/>
      <w:bookmarkStart w:id="44" w:name="_Toc225669277"/>
      <w:bookmarkStart w:id="45" w:name="_Toc267060022"/>
      <w:bookmarkStart w:id="46" w:name="_Toc160880487"/>
      <w:bookmarkStart w:id="47" w:name="_Toc235437942"/>
      <w:bookmarkStart w:id="48" w:name="_Toc217891359"/>
      <w:r>
        <w:rPr>
          <w:rFonts w:hint="eastAsia" w:ascii="仿宋" w:hAnsi="仿宋" w:eastAsia="仿宋" w:cs="仿宋"/>
          <w:b/>
          <w:bCs w:val="0"/>
          <w:color w:val="auto"/>
          <w:sz w:val="36"/>
          <w:szCs w:val="36"/>
          <w:lang w:val="en-US" w:eastAsia="zh-CN"/>
        </w:rPr>
        <w:t>广州大学松田学院关于</w:t>
      </w:r>
      <w:r>
        <w:rPr>
          <w:rFonts w:hint="eastAsia" w:ascii="仿宋" w:hAnsi="仿宋" w:eastAsia="仿宋" w:cs="仿宋"/>
          <w:b/>
          <w:bCs w:val="0"/>
          <w:color w:val="auto"/>
          <w:sz w:val="36"/>
          <w:szCs w:val="36"/>
        </w:rPr>
        <w:t>日志审计</w:t>
      </w:r>
      <w:r>
        <w:rPr>
          <w:rFonts w:hint="eastAsia" w:ascii="仿宋" w:hAnsi="仿宋" w:eastAsia="仿宋" w:cs="仿宋"/>
          <w:b/>
          <w:bCs w:val="0"/>
          <w:color w:val="auto"/>
          <w:sz w:val="36"/>
          <w:szCs w:val="36"/>
          <w:lang w:val="en-US" w:eastAsia="zh-CN"/>
        </w:rPr>
        <w:t>系统项目</w:t>
      </w:r>
    </w:p>
    <w:p>
      <w:pPr>
        <w:pStyle w:val="51"/>
        <w:spacing w:line="360" w:lineRule="auto"/>
        <w:ind w:firstLine="442" w:firstLineChars="100"/>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000000"/>
          <w:sz w:val="28"/>
          <w:szCs w:val="28"/>
          <w:lang w:val="en-US" w:eastAsia="zh-CN"/>
        </w:rPr>
        <w:t>广州大学松田学院</w:t>
      </w:r>
      <w:r>
        <w:rPr>
          <w:rFonts w:ascii="仿宋" w:hAnsi="仿宋" w:eastAsia="仿宋"/>
          <w:color w:val="000000"/>
          <w:sz w:val="28"/>
          <w:szCs w:val="28"/>
        </w:rPr>
        <w:t>是教育部批准成立的全日制普通本科院校。</w:t>
      </w:r>
      <w:r>
        <w:rPr>
          <w:rFonts w:hint="eastAsia" w:ascii="仿宋" w:hAnsi="仿宋" w:eastAsia="仿宋"/>
          <w:color w:val="000000"/>
          <w:sz w:val="28"/>
          <w:szCs w:val="28"/>
        </w:rPr>
        <w:t>2004年经国家教育部批准，广州大学松田学院转设为具有独立法人资格的全日制普通本科高等院校（</w:t>
      </w:r>
      <w:r>
        <w:rPr>
          <w:rFonts w:hint="default" w:ascii="仿宋" w:hAnsi="仿宋" w:eastAsia="仿宋"/>
          <w:color w:val="000000"/>
          <w:sz w:val="28"/>
          <w:szCs w:val="28"/>
        </w:rPr>
        <w:fldChar w:fldCharType="begin"/>
      </w:r>
      <w:r>
        <w:rPr>
          <w:rFonts w:hint="default" w:ascii="仿宋" w:hAnsi="仿宋" w:eastAsia="仿宋"/>
          <w:color w:val="000000"/>
          <w:sz w:val="28"/>
          <w:szCs w:val="28"/>
        </w:rPr>
        <w:instrText xml:space="preserve"> HYPERLINK "https://baike.baidu.com/item/%E7%8B%AC%E7%AB%8B%E5%AD%A6%E9%99%A2" \t "https://baike.baidu.com/item/%E5%B9%BF%E5%B7%9E%E5%A4%A7%E5%AD%A6%E6%9D%BE%E7%94%B0%E5%AD%A6%E9%99%A2/_blank" </w:instrText>
      </w:r>
      <w:r>
        <w:rPr>
          <w:rFonts w:hint="default" w:ascii="仿宋" w:hAnsi="仿宋" w:eastAsia="仿宋"/>
          <w:color w:val="000000"/>
          <w:sz w:val="28"/>
          <w:szCs w:val="28"/>
        </w:rPr>
        <w:fldChar w:fldCharType="separate"/>
      </w:r>
      <w:r>
        <w:rPr>
          <w:rFonts w:hint="default" w:ascii="仿宋" w:hAnsi="仿宋" w:eastAsia="仿宋"/>
          <w:color w:val="000000"/>
          <w:sz w:val="28"/>
          <w:szCs w:val="28"/>
        </w:rPr>
        <w:t>独立学院</w:t>
      </w:r>
      <w:r>
        <w:rPr>
          <w:rFonts w:hint="default" w:ascii="仿宋" w:hAnsi="仿宋" w:eastAsia="仿宋"/>
          <w:color w:val="000000"/>
          <w:sz w:val="28"/>
          <w:szCs w:val="28"/>
        </w:rPr>
        <w:fldChar w:fldCharType="end"/>
      </w:r>
      <w:r>
        <w:rPr>
          <w:rFonts w:hint="default" w:ascii="仿宋" w:hAnsi="仿宋" w:eastAsia="仿宋"/>
          <w:color w:val="000000"/>
          <w:sz w:val="28"/>
          <w:szCs w:val="28"/>
        </w:rPr>
        <w:t>）。</w:t>
      </w:r>
      <w:r>
        <w:rPr>
          <w:rFonts w:hint="eastAsia" w:ascii="仿宋" w:hAnsi="仿宋" w:eastAsia="仿宋"/>
          <w:color w:val="000000"/>
          <w:sz w:val="28"/>
          <w:szCs w:val="28"/>
        </w:rPr>
        <w:t>2005年通过了教育部关于对独立学院办学条件和教学工作的专项检查。</w:t>
      </w:r>
      <w:r>
        <w:rPr>
          <w:rFonts w:ascii="仿宋" w:hAnsi="仿宋" w:eastAsia="仿宋"/>
          <w:color w:val="000000"/>
          <w:sz w:val="28"/>
          <w:szCs w:val="28"/>
        </w:rPr>
        <w:t>2011年通过教育部本科教学工作合格评估。</w:t>
      </w:r>
      <w:r>
        <w:rPr>
          <w:rFonts w:hint="eastAsia" w:ascii="仿宋" w:hAnsi="仿宋" w:eastAsia="仿宋"/>
          <w:color w:val="000000"/>
          <w:sz w:val="28"/>
          <w:szCs w:val="28"/>
        </w:rPr>
        <w:t>根据需要，对</w:t>
      </w:r>
      <w:r>
        <w:rPr>
          <w:rFonts w:hint="eastAsia" w:ascii="仿宋" w:hAnsi="仿宋" w:eastAsia="仿宋"/>
          <w:color w:val="auto"/>
          <w:sz w:val="28"/>
          <w:szCs w:val="28"/>
        </w:rPr>
        <w:t>日志审计</w:t>
      </w:r>
      <w:r>
        <w:rPr>
          <w:rFonts w:hint="eastAsia" w:ascii="仿宋" w:hAnsi="仿宋" w:eastAsia="仿宋"/>
          <w:color w:val="auto"/>
          <w:sz w:val="28"/>
          <w:szCs w:val="28"/>
          <w:lang w:val="en-US" w:eastAsia="zh-CN"/>
        </w:rPr>
        <w:t>系统采购项目</w:t>
      </w:r>
      <w:r>
        <w:rPr>
          <w:rFonts w:hint="eastAsia" w:ascii="仿宋" w:hAnsi="仿宋" w:eastAsia="仿宋"/>
          <w:color w:val="000000"/>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A-XJ2020-29</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项目名称：广州大学松田学院关于日志审计</w:t>
      </w:r>
      <w:r>
        <w:rPr>
          <w:rFonts w:hint="eastAsia" w:ascii="仿宋" w:hAnsi="仿宋" w:eastAsia="仿宋"/>
          <w:color w:val="auto"/>
          <w:sz w:val="28"/>
          <w:szCs w:val="28"/>
          <w:lang w:val="en-US" w:eastAsia="zh-CN"/>
        </w:rPr>
        <w:t>系统</w:t>
      </w:r>
      <w:r>
        <w:rPr>
          <w:rFonts w:hint="eastAsia" w:ascii="仿宋" w:hAnsi="仿宋" w:eastAsia="仿宋"/>
          <w:color w:val="auto"/>
          <w:sz w:val="28"/>
          <w:szCs w:val="28"/>
        </w:rPr>
        <w:t>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w:t>
      </w:r>
      <w:r>
        <w:rPr>
          <w:rFonts w:hint="eastAsia" w:ascii="仿宋" w:hAnsi="仿宋" w:eastAsia="仿宋"/>
          <w:color w:val="auto"/>
          <w:sz w:val="28"/>
          <w:szCs w:val="28"/>
          <w:lang w:val="en-US" w:eastAsia="zh-CN"/>
        </w:rPr>
        <w:t>项目介绍</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报价响应文件递交方式：密封报价并邮寄。</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val="en-US" w:eastAsia="zh-CN"/>
        </w:rPr>
        <w:t>2020</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11</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9</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上午11点</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报价响应文件递交地点：广州市增城区朱村街朱村大道东432号广州大学松田学院资产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rPr>
        <w:t>020-82852717</w:t>
      </w:r>
    </w:p>
    <w:p>
      <w:pPr>
        <w:spacing w:after="0" w:line="500" w:lineRule="exact"/>
        <w:ind w:left="839"/>
        <w:rPr>
          <w:rFonts w:hint="eastAsia" w:ascii="仿宋" w:hAnsi="仿宋" w:eastAsia="仿宋"/>
          <w:color w:val="auto"/>
          <w:sz w:val="28"/>
          <w:szCs w:val="28"/>
          <w:u w:val="singl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spacing w:line="420" w:lineRule="exact"/>
        <w:jc w:val="center"/>
        <w:rPr>
          <w:rFonts w:ascii="仿宋" w:hAnsi="仿宋" w:eastAsia="仿宋"/>
          <w:b/>
          <w:sz w:val="36"/>
          <w:szCs w:val="36"/>
        </w:rPr>
      </w:pPr>
      <w:r>
        <w:rPr>
          <w:rFonts w:hint="eastAsia" w:ascii="仿宋" w:hAnsi="仿宋" w:eastAsia="仿宋"/>
          <w:b/>
          <w:color w:val="auto"/>
          <w:sz w:val="44"/>
          <w:szCs w:val="44"/>
        </w:rPr>
        <w:t>二、公开询价项目介绍</w:t>
      </w:r>
      <w:bookmarkEnd w:id="49"/>
    </w:p>
    <w:p>
      <w:pPr>
        <w:jc w:val="right"/>
        <w:rPr>
          <w:rFonts w:ascii="仿宋" w:hAnsi="仿宋" w:eastAsia="仿宋"/>
          <w:b/>
          <w:color w:val="FF0000"/>
          <w:sz w:val="36"/>
          <w:szCs w:val="36"/>
        </w:rPr>
      </w:pPr>
      <w:r>
        <w:rPr>
          <w:rFonts w:hint="eastAsia" w:ascii="仿宋" w:hAnsi="仿宋" w:eastAsia="仿宋" w:cs="仿宋"/>
          <w:b w:val="0"/>
          <w:bCs/>
          <w:color w:val="auto"/>
          <w:sz w:val="28"/>
          <w:szCs w:val="28"/>
          <w:lang w:val="en-US" w:eastAsia="zh-CN"/>
        </w:rPr>
        <w:t>单位：元</w:t>
      </w:r>
    </w:p>
    <w:tbl>
      <w:tblPr>
        <w:tblStyle w:val="24"/>
        <w:tblW w:w="888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0" w:type="dxa"/>
            <w:gridSpan w:val="2"/>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8"/>
                <w:szCs w:val="28"/>
              </w:rPr>
              <w:t>日志审计参数需求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产品结构</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采用标准机架式硬件平台，采用冗余电源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管理方式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B/S方式，采用HTTPS方式远程安全管理，无需安装管理客户端；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部署方式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支持旁路接入部署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存储</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至少4TB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接口</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至少4个10/100/1000自适应电口，1个扩展网络接口槽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处理性能</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000条每秒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授权</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提供100授权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审计对象</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支持审计各种网络设备（路由器、交换机等）配置日志、运行日志、告警日志等；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支持审计各种安全设备（防火墙、IDS、IPS、VPN、防病毒网关，网闸，防DDOS攻击，Web应用防火墙、等）配置日志、运行日志、告警日志等；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支持审计各种主机操作系统（包括Windows,Solaris, Linux, AIX, HP-UX,UNIX,AS400）配置日志、运行日志、告警日志等；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支持审计各种数据库（Oracle、Sqlserver、Mysql、DB2、Sybase）配置日志、运行日志、告警日志等；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支持审计各种中间件（tomcat、apache、weblogic等）配置日志、运行日志、告警日志等；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支持各种应用各种应用系统（邮件，Web，FTP，Telnet、等）配置日志、运行日志、告警日志等；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采集方式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支持通过syslog、SNMP Trap、Agent代理、文件\文件夹读取等多种方式完成各种日志的收集功能；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资产管理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能够将资产按照多种维度进行分组、分域管理，如组织结构、业务系统等，提供便捷的添加、修改、删除、查询与统计功能；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支持资产信息的批量导入和导出，便于安全管理和系统管理人员能方便地查找所需设备资产的信息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支持自定义资产类型及资产属性；支持对资产自定义标签，支持对标签内容进行查询和管理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支持对资产日志进行过滤，设置允许接收和拒绝接收日志，并可以对资产设置一定时间范围内未收到事件后进行主动告警。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日志交互式分析</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kern w:val="0"/>
                <w:sz w:val="21"/>
                <w:szCs w:val="21"/>
              </w:rPr>
              <w:t>系统具备全文检索的大数据处理能力，能够对事件进行非格式化的文本式处理，可将原始信息进行自动索引，快速搜索分析各类安全事件。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用户可自定义事件搜索查询条件，并可保存为策略，以树形结构进行组织，形成一个搜索分析策略树；每个查询场景都可以查询策略的形式进行存储。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采用机器学习对原始日志进行聚类分析，能够对原始日志结构模式进行自动识别(无须范化)，使审计人员清晰了解采集的日志构成。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日志统计分析</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支持柱状图、饼图、折线图、面积图、堆积图、环状图、</w:t>
            </w:r>
            <w:r>
              <w:rPr>
                <w:rFonts w:hint="eastAsia" w:ascii="仿宋" w:hAnsi="仿宋" w:eastAsia="仿宋" w:cs="仿宋"/>
                <w:kern w:val="0"/>
                <w:sz w:val="21"/>
                <w:szCs w:val="21"/>
              </w:rPr>
              <w:t>数值图</w:t>
            </w:r>
            <w:r>
              <w:rPr>
                <w:rFonts w:hint="eastAsia" w:ascii="仿宋" w:hAnsi="仿宋" w:eastAsia="仿宋" w:cs="仿宋"/>
                <w:bCs/>
                <w:kern w:val="0"/>
                <w:sz w:val="21"/>
                <w:szCs w:val="21"/>
              </w:rPr>
              <w:t>、</w:t>
            </w:r>
            <w:r>
              <w:rPr>
                <w:rFonts w:hint="eastAsia" w:ascii="仿宋" w:hAnsi="仿宋" w:eastAsia="仿宋" w:cs="仿宋"/>
                <w:kern w:val="0"/>
                <w:sz w:val="21"/>
                <w:szCs w:val="21"/>
              </w:rPr>
              <w:t>地图</w:t>
            </w:r>
            <w:r>
              <w:rPr>
                <w:rFonts w:hint="eastAsia" w:ascii="仿宋" w:hAnsi="仿宋" w:eastAsia="仿宋" w:cs="仿宋"/>
                <w:bCs/>
                <w:kern w:val="0"/>
                <w:sz w:val="21"/>
                <w:szCs w:val="21"/>
              </w:rPr>
              <w:t>等形式的统计信息可视化展示，并可将统计结果保存为仪表板和报表等。</w:t>
            </w:r>
            <w:r>
              <w:rPr>
                <w:rFonts w:hint="eastAsia" w:ascii="仿宋" w:hAnsi="仿宋" w:eastAsia="仿宋" w:cs="仿宋"/>
                <w:kern w:val="0"/>
                <w:sz w:val="21"/>
                <w:szCs w:val="21"/>
              </w:rPr>
              <w:t>图表数据支持数据下钻。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kern w:val="0"/>
                <w:sz w:val="21"/>
                <w:szCs w:val="21"/>
              </w:rPr>
              <w:t>支持将统计结果保存为仪表板、报表和策略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告警管理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告警支持提供告警统计策略，选中某条策略，就能展示某个统计图表，支持柱图、饼图、曲线图等统计展示形式；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支持告警归并，有效抑制重复告警，归并规则可自定义；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报表管理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报表管理功能，针对各类服务器、网络设备、防火墙、入侵检测系统、防病毒系统、终端安全管理系统、数据库、策略变更、流量，设备事件趋势以及总体报表，满足等保等其他合规性要求；根据时间、数据类型等生成报表，提供打印、导出以及邮件送达等服务；直观地为管理员提供决策和分析的数据基础，帮助管理员掌握网络及业务系统的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系统支持提供安全运维报告，帮助运维人员快速生成日常日志分析和运维报告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系统管理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采用基于角色的权限管理机制，通过角色定义支持多用户访问；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报价金额</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r>
    </w:tbl>
    <w:p>
      <w:pPr>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p>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3.以上报价包含税费、运费、安装费等一切费用，卖方需开具足额的增值税普通发票。</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4.报价须提供详细参数和具体品牌，否则将视为没有实质性响应公开询价文件。</w:t>
      </w:r>
    </w:p>
    <w:p>
      <w:pPr>
        <w:numPr>
          <w:ilvl w:val="0"/>
          <w:numId w:val="0"/>
        </w:numPr>
        <w:spacing w:line="380" w:lineRule="exact"/>
        <w:ind w:firstLine="840" w:firstLineChars="300"/>
        <w:rPr>
          <w:rFonts w:hint="eastAsia" w:ascii="仿宋" w:hAnsi="仿宋" w:eastAsia="仿宋"/>
          <w:sz w:val="28"/>
          <w:szCs w:val="28"/>
          <w:lang w:val="en-US" w:eastAsia="zh-CN"/>
        </w:rPr>
      </w:pPr>
    </w:p>
    <w:p>
      <w:pPr>
        <w:numPr>
          <w:ilvl w:val="0"/>
          <w:numId w:val="0"/>
        </w:numPr>
        <w:spacing w:line="380" w:lineRule="exact"/>
        <w:ind w:firstLine="840" w:firstLineChars="300"/>
        <w:rPr>
          <w:rFonts w:hint="eastAsia" w:ascii="仿宋" w:hAnsi="仿宋" w:eastAsia="仿宋"/>
          <w:sz w:val="28"/>
          <w:szCs w:val="28"/>
          <w:lang w:val="en-US" w:eastAsia="zh-CN"/>
        </w:rPr>
      </w:pPr>
    </w:p>
    <w:p>
      <w:pPr>
        <w:numPr>
          <w:ilvl w:val="0"/>
          <w:numId w:val="0"/>
        </w:numPr>
        <w:spacing w:line="380" w:lineRule="exact"/>
        <w:ind w:firstLine="840" w:firstLineChars="300"/>
        <w:rPr>
          <w:rFonts w:hint="eastAsia" w:ascii="仿宋" w:hAnsi="仿宋" w:eastAsia="仿宋"/>
          <w:sz w:val="28"/>
          <w:szCs w:val="28"/>
          <w:lang w:val="en-US" w:eastAsia="zh-CN"/>
        </w:rPr>
      </w:pPr>
    </w:p>
    <w:p>
      <w:pPr>
        <w:numPr>
          <w:ilvl w:val="0"/>
          <w:numId w:val="0"/>
        </w:numPr>
        <w:spacing w:line="380" w:lineRule="exact"/>
        <w:ind w:firstLine="840" w:firstLineChars="300"/>
        <w:rPr>
          <w:rFonts w:hint="eastAsia" w:ascii="仿宋" w:hAnsi="仿宋" w:eastAsia="仿宋"/>
          <w:sz w:val="28"/>
          <w:szCs w:val="28"/>
          <w:lang w:val="zh-CN" w:eastAsia="zh-CN"/>
        </w:rPr>
      </w:pPr>
    </w:p>
    <w:p>
      <w:pPr>
        <w:spacing w:line="1000" w:lineRule="exact"/>
        <w:jc w:val="both"/>
        <w:rPr>
          <w:rFonts w:ascii="仿宋" w:hAnsi="仿宋" w:eastAsia="仿宋"/>
          <w:b/>
          <w:sz w:val="72"/>
          <w:szCs w:val="72"/>
        </w:rPr>
      </w:pPr>
    </w:p>
    <w:p>
      <w:pPr>
        <w:spacing w:line="1000" w:lineRule="exact"/>
        <w:jc w:val="both"/>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广州大学松田学院</w:t>
      </w:r>
    </w:p>
    <w:p>
      <w:pPr>
        <w:spacing w:line="1000" w:lineRule="exact"/>
        <w:jc w:val="center"/>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rPr>
        <w:t>关于日志审计系统</w:t>
      </w:r>
      <w:r>
        <w:rPr>
          <w:rFonts w:hint="eastAsia" w:ascii="仿宋" w:hAnsi="仿宋" w:eastAsia="仿宋" w:cs="仿宋"/>
          <w:b/>
          <w:bCs w:val="0"/>
          <w:color w:val="auto"/>
          <w:sz w:val="36"/>
          <w:szCs w:val="36"/>
          <w:lang w:val="en-US" w:eastAsia="zh-CN"/>
        </w:rPr>
        <w:t>采购</w:t>
      </w:r>
      <w:r>
        <w:rPr>
          <w:rFonts w:hint="eastAsia" w:ascii="仿宋" w:hAnsi="仿宋" w:eastAsia="仿宋" w:cs="仿宋"/>
          <w:b/>
          <w:bCs w:val="0"/>
          <w:color w:val="auto"/>
          <w:sz w:val="36"/>
          <w:szCs w:val="36"/>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both"/>
        <w:outlineLvl w:val="1"/>
        <w:rPr>
          <w:rFonts w:hint="eastAsia" w:ascii="仿宋" w:hAnsi="仿宋" w:eastAsia="仿宋"/>
          <w:b/>
          <w:bCs/>
          <w:sz w:val="28"/>
          <w:szCs w:val="28"/>
        </w:rPr>
      </w:pPr>
      <w:bookmarkStart w:id="50" w:name="_Toc213756051"/>
      <w:bookmarkStart w:id="51" w:name="_Toc160880160"/>
      <w:bookmarkStart w:id="52" w:name="_Toc177985469"/>
      <w:bookmarkStart w:id="53" w:name="_Toc266870432"/>
      <w:bookmarkStart w:id="54" w:name="_Toc227058530"/>
      <w:bookmarkStart w:id="55" w:name="_Toc223146608"/>
      <w:bookmarkStart w:id="56" w:name="_Toc191803626"/>
      <w:bookmarkStart w:id="57" w:name="_Toc160880529"/>
      <w:bookmarkStart w:id="58" w:name="_Toc193165734"/>
      <w:bookmarkStart w:id="59" w:name="_Toc169332949"/>
      <w:bookmarkStart w:id="60" w:name="_Toc181436461"/>
      <w:bookmarkStart w:id="61" w:name="_Toc213755939"/>
      <w:bookmarkStart w:id="62" w:name="_Toc169332838"/>
      <w:bookmarkStart w:id="63" w:name="_Toc217891402"/>
      <w:bookmarkStart w:id="64" w:name="_Toc192664153"/>
      <w:bookmarkStart w:id="65" w:name="_Toc254790899"/>
      <w:bookmarkStart w:id="66" w:name="_Toc267059919"/>
      <w:bookmarkStart w:id="67" w:name="_Toc259692647"/>
      <w:bookmarkStart w:id="68" w:name="_Toc213208766"/>
      <w:bookmarkStart w:id="69" w:name="_Toc236021449"/>
      <w:bookmarkStart w:id="70" w:name="_Toc192663686"/>
      <w:bookmarkStart w:id="71" w:name="_Toc192663835"/>
      <w:bookmarkStart w:id="72" w:name="_Toc235438344"/>
      <w:bookmarkStart w:id="73" w:name="_Toc266868937"/>
      <w:bookmarkStart w:id="74" w:name="_Toc235438274"/>
      <w:bookmarkStart w:id="75" w:name="_Toc267059806"/>
      <w:bookmarkStart w:id="76" w:name="_Toc182372782"/>
      <w:bookmarkStart w:id="77" w:name="_Toc180302913"/>
      <w:bookmarkStart w:id="78" w:name="_Toc267059653"/>
      <w:bookmarkStart w:id="79" w:name="_Toc266870907"/>
      <w:bookmarkStart w:id="80" w:name="_Toc191802690"/>
      <w:bookmarkStart w:id="81" w:name="_Toc211917116"/>
      <w:bookmarkStart w:id="82" w:name="_Toc170798793"/>
      <w:bookmarkStart w:id="83" w:name="_Toc203355733"/>
      <w:bookmarkStart w:id="84" w:name="_Toc267059030"/>
      <w:bookmarkStart w:id="85" w:name="_Toc225669322"/>
      <w:bookmarkStart w:id="86" w:name="_Toc192996446"/>
      <w:bookmarkStart w:id="87" w:name="_Toc230071147"/>
      <w:bookmarkStart w:id="88" w:name="_Toc192996338"/>
      <w:bookmarkStart w:id="89" w:name="_Toc213755858"/>
      <w:bookmarkStart w:id="90" w:name="_Toc181436565"/>
      <w:bookmarkStart w:id="91" w:name="_Toc191789329"/>
      <w:bookmarkStart w:id="92" w:name="_Toc182805217"/>
      <w:bookmarkStart w:id="93" w:name="_Toc191783222"/>
      <w:bookmarkStart w:id="94" w:name="_Toc213755995"/>
      <w:bookmarkStart w:id="95" w:name="_Toc267059539"/>
      <w:bookmarkStart w:id="96" w:name="_Toc255975007"/>
      <w:bookmarkStart w:id="97" w:name="_Toc267060453"/>
      <w:bookmarkStart w:id="98" w:name="_Toc251613829"/>
      <w:bookmarkStart w:id="99" w:name="_Toc235437991"/>
      <w:bookmarkStart w:id="100" w:name="_Toc273178698"/>
      <w:bookmarkStart w:id="101" w:name="_Toc266870833"/>
      <w:bookmarkStart w:id="102" w:name="_Toc249325711"/>
      <w:bookmarkStart w:id="103" w:name="_Toc267060321"/>
      <w:bookmarkStart w:id="104" w:name="_Toc253066614"/>
      <w:bookmarkStart w:id="105" w:name="_Toc219800243"/>
      <w:bookmarkStart w:id="106" w:name="_Toc258401256"/>
      <w:bookmarkStart w:id="107" w:name="_Toc266868670"/>
      <w:bookmarkStart w:id="108" w:name="_Toc232302115"/>
      <w:bookmarkStart w:id="109" w:name="_Toc267060208"/>
      <w:bookmarkStart w:id="110" w:name="_Toc259692740"/>
      <w:bookmarkStart w:id="111" w:name="_Toc267060068"/>
      <w:bookmarkStart w:id="112" w:name="_Toc193160448"/>
      <w:bookmarkStart w:id="113" w:name="_Toc267059181"/>
      <w:bookmarkStart w:id="114" w:name="_Toc251586231"/>
      <w:bookmarkStart w:id="115" w:name="_Toc259520865"/>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广州大学松田学院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8880" w:type="dxa"/>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0" w:type="dxa"/>
            <w:gridSpan w:val="2"/>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8"/>
                <w:szCs w:val="28"/>
              </w:rPr>
              <w:t>日志审计参数需求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产品结构</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采用标准机架式硬件平台，采用冗余电源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管理方式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B/S方式，采用HTTPS方式远程安全管理，无需安装管理客户端；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部署方式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支持旁路接入部署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存储</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至少4TB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接口</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至少4个10/100/1000自适应电口，1个扩展网络接口槽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处理性能</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000条每秒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授权</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提供100授权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审计对象</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支持审计各种网络设备（路由器、交换机等）配置日志、运行日志、告警日志等；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支持审计各种安全设备（防火墙、IDS、IPS、VPN、防病毒网关，网闸，防DDOS攻击，Web应用防火墙、等）配置日志、运行日志、告警日志等；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支持审计各种主机操作系统（包括Windows,Solaris, Linux, AIX, HP-UX,UNIX,AS400）配置日志、运行日志、告警日志等；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支持审计各种数据库（Oracle、Sqlserver、Mysql、DB2、Sybase）配置日志、运行日志、告警日志等；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支持审计各种中间件（tomcat、apache、weblogic等）配置日志、运行日志、告警日志等；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支持各种应用各种应用系统（邮件，Web，FTP，Telnet、等）配置日志、运行日志、告警日志等；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采集方式</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支持通过syslog、SNMP Trap、Agent代理、文件\文件夹读取等多种方式完成各种日志的收集功能；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资产管理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能够将资产按照多种维度进行分组、分域管理，如组织结构、业务系统等，提供便捷的添加、修改、删除、查询与统计功能；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支持资产信息的批量导入和导出，便于安全管理和系统管理人员能方便地查找所需设备资产的信息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支持自定义资产类型及资产属性；支持对资产自定义标签，支持对标签内容进行查询和管理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支持对资产日志进行过滤，设置允许接收和拒绝接收日志，并可以对资产设置一定时间范围内未收到事件后进行主动告警。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日志交互式分析</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kern w:val="0"/>
                <w:sz w:val="21"/>
                <w:szCs w:val="21"/>
              </w:rPr>
              <w:t>系统具备全文检索的大数据处理能力，能够对事件进行非格式化的文本式处理，可将原始信息进行自动索引，快速搜索分析各类安全事件。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用户可自定义事件搜索查询条件，并可保存为策略，以树形结构进行组织，形成一个搜索分析策略树；每个查询场景都可以查询策略的形式进行存储。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采用机器学习对原始日志进行聚类分析，能够对原始日志结构模式进行自动识别(无须范化)，使审计人员清晰了解采集的日志构成。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日志统计分析</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支持柱状图、饼图、折线图、面积图、堆积图、环状图、</w:t>
            </w:r>
            <w:r>
              <w:rPr>
                <w:rFonts w:hint="eastAsia" w:ascii="仿宋" w:hAnsi="仿宋" w:eastAsia="仿宋" w:cs="仿宋"/>
                <w:kern w:val="0"/>
                <w:sz w:val="21"/>
                <w:szCs w:val="21"/>
              </w:rPr>
              <w:t>数值图</w:t>
            </w:r>
            <w:r>
              <w:rPr>
                <w:rFonts w:hint="eastAsia" w:ascii="仿宋" w:hAnsi="仿宋" w:eastAsia="仿宋" w:cs="仿宋"/>
                <w:bCs/>
                <w:kern w:val="0"/>
                <w:sz w:val="21"/>
                <w:szCs w:val="21"/>
              </w:rPr>
              <w:t>、</w:t>
            </w:r>
            <w:r>
              <w:rPr>
                <w:rFonts w:hint="eastAsia" w:ascii="仿宋" w:hAnsi="仿宋" w:eastAsia="仿宋" w:cs="仿宋"/>
                <w:kern w:val="0"/>
                <w:sz w:val="21"/>
                <w:szCs w:val="21"/>
              </w:rPr>
              <w:t>地图</w:t>
            </w:r>
            <w:r>
              <w:rPr>
                <w:rFonts w:hint="eastAsia" w:ascii="仿宋" w:hAnsi="仿宋" w:eastAsia="仿宋" w:cs="仿宋"/>
                <w:bCs/>
                <w:kern w:val="0"/>
                <w:sz w:val="21"/>
                <w:szCs w:val="21"/>
              </w:rPr>
              <w:t>等形式的统计信息可视化展示，并可将统计结果保存为仪表板和报表等。</w:t>
            </w:r>
            <w:r>
              <w:rPr>
                <w:rFonts w:hint="eastAsia" w:ascii="仿宋" w:hAnsi="仿宋" w:eastAsia="仿宋" w:cs="仿宋"/>
                <w:kern w:val="0"/>
                <w:sz w:val="21"/>
                <w:szCs w:val="21"/>
              </w:rPr>
              <w:t>图表数据支持数据下钻。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Cs/>
                <w:kern w:val="0"/>
                <w:sz w:val="21"/>
                <w:szCs w:val="21"/>
              </w:rPr>
            </w:pPr>
            <w:r>
              <w:rPr>
                <w:rFonts w:hint="eastAsia" w:ascii="仿宋" w:hAnsi="仿宋" w:eastAsia="仿宋" w:cs="仿宋"/>
                <w:kern w:val="0"/>
                <w:sz w:val="21"/>
                <w:szCs w:val="21"/>
              </w:rPr>
              <w:t>支持将统计结果保存为仪表板、报表和策略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告警管理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告警支持提供告警统计策略，选中某条策略，就能展示某个统计图表，支持柱图、饼图、曲线图等统计展示形式；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bCs/>
                <w:kern w:val="0"/>
                <w:sz w:val="21"/>
                <w:szCs w:val="21"/>
              </w:rPr>
              <w:t>支持告警归并，有效抑制重复告警，归并规则可自定义；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1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报表管理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提供报表管理功能，针对各类服务器、网络设备、防火墙、入侵检测系统、防病毒系统、终端安全管理系统、数据库、策略变更、流量，设备事件趋势以及总体报表，满足等保等其他合规性要求；根据时间、数据类型等生成报表，提供打印、导出以及邮件送达等服务；直观地为管理员提供决策和分析的数据基础，帮助管理员掌握网络及业务系统的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41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系统支持提供安全运维报告，帮助运维人员快速生成日常日志分析和运维报告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系统管理</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采用基于角色的权限管理机制，通过角色定义支持多用户访问；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41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报价金额</w:t>
            </w:r>
          </w:p>
        </w:tc>
        <w:tc>
          <w:tcPr>
            <w:tcW w:w="7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kern w:val="0"/>
                <w:sz w:val="21"/>
                <w:szCs w:val="21"/>
              </w:rPr>
            </w:pPr>
          </w:p>
        </w:tc>
      </w:tr>
    </w:tbl>
    <w:p>
      <w:pPr>
        <w:spacing w:line="380" w:lineRule="exact"/>
        <w:ind w:firstLine="280" w:firstLineChars="100"/>
        <w:rPr>
          <w:rFonts w:ascii="仿宋" w:hAnsi="仿宋" w:eastAsia="仿宋"/>
          <w:sz w:val="28"/>
          <w:szCs w:val="28"/>
        </w:rPr>
      </w:pPr>
      <w:r>
        <w:rPr>
          <w:rFonts w:ascii="仿宋" w:hAnsi="仿宋" w:eastAsia="仿宋"/>
          <w:sz w:val="28"/>
          <w:szCs w:val="28"/>
        </w:rPr>
        <w:t>注：</w:t>
      </w:r>
      <w:r>
        <w:rPr>
          <w:rFonts w:hint="eastAsia" w:ascii="仿宋" w:hAnsi="仿宋" w:eastAsia="仿宋"/>
          <w:sz w:val="28"/>
          <w:szCs w:val="28"/>
          <w:lang w:val="en-US" w:eastAsia="zh-CN"/>
        </w:rPr>
        <w:t>1.</w:t>
      </w:r>
      <w:r>
        <w:rPr>
          <w:rFonts w:ascii="仿宋" w:hAnsi="仿宋" w:eastAsia="仿宋"/>
          <w:sz w:val="28"/>
          <w:szCs w:val="28"/>
        </w:rPr>
        <w:t>如果按单价计算的结果与总价不一致,以单价为准修正总价。</w:t>
      </w:r>
    </w:p>
    <w:p>
      <w:pPr>
        <w:numPr>
          <w:ilvl w:val="0"/>
          <w:numId w:val="0"/>
        </w:numPr>
        <w:spacing w:line="380" w:lineRule="exact"/>
        <w:ind w:firstLine="840" w:firstLineChars="300"/>
        <w:rPr>
          <w:rFonts w:ascii="仿宋" w:hAnsi="仿宋" w:eastAsia="仿宋"/>
          <w:sz w:val="28"/>
          <w:szCs w:val="28"/>
        </w:rPr>
      </w:pPr>
      <w:r>
        <w:rPr>
          <w:rFonts w:hint="eastAsia" w:ascii="仿宋" w:hAnsi="仿宋" w:eastAsia="仿宋"/>
          <w:sz w:val="28"/>
          <w:szCs w:val="28"/>
          <w:lang w:val="en-US" w:eastAsia="zh-CN"/>
        </w:rPr>
        <w:t>2.</w:t>
      </w:r>
      <w:r>
        <w:rPr>
          <w:rFonts w:ascii="仿宋" w:hAnsi="仿宋" w:eastAsia="仿宋"/>
          <w:sz w:val="28"/>
          <w:szCs w:val="28"/>
        </w:rPr>
        <w:t>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numPr>
          <w:ilvl w:val="0"/>
          <w:numId w:val="0"/>
        </w:numPr>
        <w:spacing w:line="38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lang w:val="en-US" w:eastAsia="zh-CN"/>
        </w:rPr>
        <w:t>3.以上报价包含税费、运费、安装费等一切费用，卖方需开具足额的增值税普通发票。</w:t>
      </w:r>
    </w:p>
    <w:p>
      <w:pPr>
        <w:numPr>
          <w:ilvl w:val="0"/>
          <w:numId w:val="0"/>
        </w:numPr>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en-US" w:eastAsia="zh-CN"/>
        </w:rPr>
        <w:t>4.报价须提供详细参数和具体品牌，否则将视为没有实质性响应公开询价文件。</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192996451"/>
      <w:bookmarkStart w:id="117" w:name="_Toc192663840"/>
      <w:bookmarkStart w:id="118" w:name="_Toc258401265"/>
      <w:bookmarkStart w:id="119" w:name="_Toc213755864"/>
      <w:bookmarkStart w:id="120" w:name="_Toc253066624"/>
      <w:bookmarkStart w:id="121" w:name="_Toc259692749"/>
      <w:bookmarkStart w:id="122" w:name="_Toc169332954"/>
      <w:bookmarkStart w:id="123" w:name="_Toc160880534"/>
      <w:bookmarkStart w:id="124" w:name="_Toc177985474"/>
      <w:bookmarkStart w:id="125" w:name="_Toc191783227"/>
      <w:bookmarkStart w:id="126" w:name="_Toc193160453"/>
      <w:bookmarkStart w:id="127" w:name="_Toc232302122"/>
      <w:bookmarkStart w:id="128" w:name="_Toc251613839"/>
      <w:bookmarkStart w:id="129" w:name="_Toc170798798"/>
      <w:bookmarkStart w:id="130" w:name="_Toc217891408"/>
      <w:bookmarkStart w:id="131" w:name="_Toc213208771"/>
      <w:bookmarkStart w:id="132" w:name="_Toc254790909"/>
      <w:bookmarkStart w:id="133" w:name="_Toc227058536"/>
      <w:bookmarkStart w:id="134" w:name="_Toc223146614"/>
      <w:bookmarkStart w:id="135" w:name="_Toc219800249"/>
      <w:bookmarkStart w:id="136" w:name="_Toc192996343"/>
      <w:bookmarkStart w:id="137" w:name="_Toc169332843"/>
      <w:bookmarkStart w:id="138" w:name="_Toc180302918"/>
      <w:bookmarkStart w:id="139" w:name="_Toc160880165"/>
      <w:bookmarkStart w:id="140" w:name="_Toc213756057"/>
      <w:bookmarkStart w:id="141" w:name="_Toc191789334"/>
      <w:bookmarkStart w:id="142" w:name="_Toc267059924"/>
      <w:bookmarkStart w:id="143" w:name="_Toc251586241"/>
      <w:bookmarkStart w:id="144" w:name="_Toc213756001"/>
      <w:bookmarkStart w:id="145" w:name="_Toc213755945"/>
      <w:bookmarkStart w:id="146" w:name="_Toc266870916"/>
      <w:bookmarkStart w:id="147" w:name="_Toc182372787"/>
      <w:bookmarkStart w:id="148" w:name="_Toc266870441"/>
      <w:bookmarkStart w:id="149" w:name="_Toc267060461"/>
      <w:bookmarkStart w:id="150" w:name="_Toc225669328"/>
      <w:bookmarkStart w:id="151" w:name="_Toc182805222"/>
      <w:bookmarkStart w:id="152" w:name="_Toc203355738"/>
      <w:bookmarkStart w:id="153" w:name="_Toc259520874"/>
      <w:bookmarkStart w:id="154" w:name="_Toc211917121"/>
      <w:bookmarkStart w:id="155" w:name="_Toc235438281"/>
      <w:bookmarkStart w:id="156" w:name="_Toc259692656"/>
      <w:bookmarkStart w:id="157" w:name="_Toc192664158"/>
      <w:bookmarkStart w:id="158" w:name="_Toc181436466"/>
      <w:bookmarkStart w:id="159" w:name="_Toc191803631"/>
      <w:bookmarkStart w:id="160" w:name="_Toc191802695"/>
      <w:bookmarkStart w:id="161" w:name="_Toc249325720"/>
      <w:bookmarkStart w:id="162" w:name="_Toc193165739"/>
      <w:bookmarkStart w:id="163" w:name="_Toc235437998"/>
      <w:bookmarkStart w:id="164" w:name="_Toc267060326"/>
      <w:bookmarkStart w:id="165" w:name="_Toc255975016"/>
      <w:bookmarkStart w:id="166" w:name="_Toc267059544"/>
      <w:bookmarkStart w:id="167" w:name="_Toc273178703"/>
      <w:bookmarkStart w:id="168" w:name="_Toc266868943"/>
      <w:bookmarkStart w:id="169" w:name="_Toc267059186"/>
      <w:bookmarkStart w:id="170" w:name="_Toc267060076"/>
      <w:bookmarkStart w:id="171" w:name="_Toc266870839"/>
      <w:bookmarkStart w:id="172" w:name="_Toc235438352"/>
      <w:bookmarkStart w:id="173" w:name="_Toc267060216"/>
      <w:bookmarkStart w:id="174" w:name="_Toc192663691"/>
      <w:bookmarkStart w:id="175" w:name="_Toc267059658"/>
      <w:bookmarkStart w:id="176" w:name="_Toc266868679"/>
      <w:bookmarkStart w:id="177" w:name="_Toc236021457"/>
      <w:bookmarkStart w:id="178" w:name="_Toc181436570"/>
      <w:bookmarkStart w:id="179" w:name="_Toc230071153"/>
      <w:bookmarkStart w:id="180" w:name="_Toc267059035"/>
      <w:bookmarkStart w:id="181" w:name="_Toc267059811"/>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67060462"/>
      <w:bookmarkStart w:id="183" w:name="_Toc223146615"/>
      <w:bookmarkStart w:id="184" w:name="_Toc251586242"/>
      <w:bookmarkStart w:id="185" w:name="_Toc227058537"/>
      <w:bookmarkStart w:id="186" w:name="_Toc258401266"/>
      <w:bookmarkStart w:id="187" w:name="_Toc249325721"/>
      <w:bookmarkStart w:id="188" w:name="_Toc267060217"/>
      <w:bookmarkStart w:id="189" w:name="_Toc232302123"/>
      <w:bookmarkStart w:id="190" w:name="_Toc236021458"/>
      <w:bookmarkStart w:id="191" w:name="_Toc259692657"/>
      <w:bookmarkStart w:id="192" w:name="_Toc235438282"/>
      <w:bookmarkStart w:id="193" w:name="_Toc254790910"/>
      <w:bookmarkStart w:id="194" w:name="_Toc230071154"/>
      <w:bookmarkStart w:id="195" w:name="_Toc253066625"/>
      <w:bookmarkStart w:id="196" w:name="_Toc251613840"/>
      <w:bookmarkStart w:id="197" w:name="_Toc219800250"/>
      <w:bookmarkStart w:id="198" w:name="_Toc255975017"/>
      <w:bookmarkStart w:id="199" w:name="_Toc213756058"/>
      <w:bookmarkStart w:id="200" w:name="_Toc235437999"/>
      <w:bookmarkStart w:id="201" w:name="_Toc235438353"/>
      <w:bookmarkStart w:id="202" w:name="_Toc266868680"/>
      <w:bookmarkStart w:id="203" w:name="_Toc259692750"/>
      <w:bookmarkStart w:id="204" w:name="_Toc267060077"/>
      <w:bookmarkStart w:id="205" w:name="_Toc225669329"/>
      <w:bookmarkStart w:id="206" w:name="_Toc266870442"/>
      <w:bookmarkStart w:id="207" w:name="_Toc217891409"/>
      <w:bookmarkStart w:id="208" w:name="_Toc266870917"/>
      <w:bookmarkStart w:id="209" w:name="_Toc259520875"/>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广州大学松田学院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bookmarkStart w:id="324" w:name="_GoBack"/>
      <w:bookmarkEnd w:id="324"/>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35438000"/>
      <w:bookmarkStart w:id="212" w:name="_Toc227058538"/>
      <w:bookmarkStart w:id="213" w:name="_Toc251613841"/>
      <w:bookmarkStart w:id="214" w:name="_Toc219800251"/>
      <w:bookmarkStart w:id="215" w:name="_Toc259520876"/>
      <w:bookmarkStart w:id="216" w:name="_Toc266870443"/>
      <w:bookmarkStart w:id="217" w:name="_Toc217891410"/>
      <w:bookmarkStart w:id="218" w:name="_Toc259692658"/>
      <w:bookmarkStart w:id="219" w:name="_Toc223146616"/>
      <w:bookmarkStart w:id="220" w:name="_Toc254790911"/>
      <w:bookmarkStart w:id="221" w:name="_Toc266868681"/>
      <w:bookmarkStart w:id="222" w:name="_Toc213756059"/>
      <w:bookmarkStart w:id="223" w:name="_Toc232302124"/>
      <w:bookmarkStart w:id="224" w:name="_Toc258401267"/>
      <w:bookmarkStart w:id="225" w:name="_Toc266870918"/>
      <w:bookmarkStart w:id="226" w:name="_Toc235438354"/>
      <w:bookmarkStart w:id="227" w:name="_Toc253066626"/>
      <w:bookmarkStart w:id="228" w:name="_Toc251586243"/>
      <w:bookmarkStart w:id="229" w:name="_Toc255975018"/>
      <w:bookmarkStart w:id="230" w:name="_Toc236021459"/>
      <w:bookmarkStart w:id="231" w:name="_Toc259692751"/>
      <w:bookmarkStart w:id="232" w:name="_Toc235438283"/>
      <w:bookmarkStart w:id="233" w:name="_Toc249325722"/>
      <w:bookmarkStart w:id="234" w:name="_Toc230071155"/>
      <w:bookmarkStart w:id="235" w:name="_Toc225669330"/>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广州大学松田学院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259692663"/>
      <w:bookmarkStart w:id="237" w:name="_Toc267060466"/>
      <w:bookmarkStart w:id="238" w:name="_Toc180302921"/>
      <w:bookmarkStart w:id="239" w:name="_Toc266870447"/>
      <w:bookmarkStart w:id="240" w:name="_Toc235438003"/>
      <w:bookmarkStart w:id="241" w:name="_Toc192663843"/>
      <w:bookmarkStart w:id="242" w:name="_Toc193160456"/>
      <w:bookmarkStart w:id="243" w:name="_Toc259692754"/>
      <w:bookmarkStart w:id="244" w:name="_Toc267060081"/>
      <w:bookmarkStart w:id="245" w:name="_Toc193165742"/>
      <w:bookmarkStart w:id="246" w:name="_Toc236021462"/>
      <w:bookmarkStart w:id="247" w:name="_Toc259692756"/>
      <w:bookmarkStart w:id="248" w:name="_Toc255975021"/>
      <w:bookmarkStart w:id="249" w:name="_Toc232302127"/>
      <w:bookmarkStart w:id="250" w:name="_Toc191803634"/>
      <w:bookmarkStart w:id="251" w:name="_Toc266870921"/>
      <w:bookmarkStart w:id="252" w:name="_Toc259520881"/>
      <w:bookmarkStart w:id="253" w:name="_Toc266868686"/>
      <w:bookmarkStart w:id="254" w:name="_Toc235438286"/>
      <w:bookmarkStart w:id="255" w:name="_Toc235438357"/>
      <w:bookmarkStart w:id="256" w:name="_Toc192663694"/>
      <w:bookmarkStart w:id="257" w:name="_Toc203355741"/>
      <w:bookmarkStart w:id="258" w:name="_Toc259692661"/>
      <w:bookmarkStart w:id="259" w:name="_Toc169332846"/>
      <w:bookmarkStart w:id="260" w:name="_Toc191783230"/>
      <w:bookmarkStart w:id="261" w:name="_Toc251586246"/>
      <w:bookmarkStart w:id="262" w:name="_Toc182805225"/>
      <w:bookmarkStart w:id="263" w:name="_Toc267060465"/>
      <w:bookmarkStart w:id="264" w:name="_Toc267060080"/>
      <w:bookmarkStart w:id="265" w:name="_Toc258401270"/>
      <w:bookmarkStart w:id="266" w:name="_Toc259520879"/>
      <w:bookmarkStart w:id="267" w:name="_Toc182372790"/>
      <w:bookmarkStart w:id="268" w:name="_Toc191802698"/>
      <w:bookmarkStart w:id="269" w:name="_Toc192996454"/>
      <w:bookmarkStart w:id="270" w:name="_Toc254790916"/>
      <w:bookmarkStart w:id="271" w:name="_Toc181436573"/>
      <w:bookmarkStart w:id="272" w:name="_Toc211917124"/>
      <w:bookmarkStart w:id="273" w:name="_Toc192664161"/>
      <w:bookmarkStart w:id="274" w:name="_Toc253066629"/>
      <w:bookmarkStart w:id="275" w:name="_Toc266868684"/>
      <w:bookmarkStart w:id="276" w:name="_Toc191789337"/>
      <w:bookmarkStart w:id="277" w:name="_Toc254790914"/>
      <w:bookmarkStart w:id="278" w:name="_Toc266870922"/>
      <w:bookmarkStart w:id="279" w:name="_Toc255975023"/>
      <w:bookmarkStart w:id="280" w:name="_Toc169332957"/>
      <w:bookmarkStart w:id="281" w:name="_Toc177985477"/>
      <w:bookmarkStart w:id="282" w:name="_Toc267060220"/>
      <w:bookmarkStart w:id="283" w:name="_Toc266870446"/>
      <w:bookmarkStart w:id="284" w:name="_Toc160880537"/>
      <w:bookmarkStart w:id="285" w:name="_Toc170798801"/>
      <w:bookmarkStart w:id="286" w:name="_Toc249325725"/>
      <w:bookmarkStart w:id="287" w:name="_Toc160880168"/>
      <w:bookmarkStart w:id="288" w:name="_Toc251613844"/>
      <w:bookmarkStart w:id="289" w:name="_Toc181436469"/>
      <w:bookmarkStart w:id="290" w:name="_Toc192996346"/>
      <w:bookmarkStart w:id="291" w:name="_Toc258401272"/>
      <w:bookmarkStart w:id="292" w:name="_Toc267060221"/>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5975024"/>
      <w:bookmarkStart w:id="294" w:name="_Toc267060082"/>
      <w:bookmarkStart w:id="295" w:name="_Toc251613845"/>
      <w:bookmarkStart w:id="296" w:name="_Toc267060327"/>
      <w:bookmarkStart w:id="297" w:name="_Toc254790917"/>
      <w:bookmarkStart w:id="298" w:name="_Toc267059187"/>
      <w:bookmarkStart w:id="299" w:name="_Toc266868944"/>
      <w:bookmarkStart w:id="300" w:name="_Toc259692757"/>
      <w:bookmarkStart w:id="301" w:name="_Toc232302128"/>
      <w:bookmarkStart w:id="302" w:name="_Toc273178704"/>
      <w:bookmarkStart w:id="303" w:name="_Toc266870923"/>
      <w:bookmarkStart w:id="304" w:name="_Toc267060467"/>
      <w:bookmarkStart w:id="305" w:name="_Toc267059036"/>
      <w:bookmarkStart w:id="306" w:name="_Toc235438004"/>
      <w:bookmarkStart w:id="307" w:name="_Toc266870448"/>
      <w:bookmarkStart w:id="308" w:name="_Toc267059925"/>
      <w:bookmarkStart w:id="309" w:name="_Toc266870840"/>
      <w:bookmarkStart w:id="310" w:name="_Toc266868687"/>
      <w:bookmarkStart w:id="311" w:name="_Toc253066630"/>
      <w:bookmarkStart w:id="312" w:name="_Toc259520882"/>
      <w:bookmarkStart w:id="313" w:name="_Toc258401273"/>
      <w:bookmarkStart w:id="314" w:name="_Toc267059812"/>
      <w:bookmarkStart w:id="315" w:name="_Toc236021463"/>
      <w:bookmarkStart w:id="316" w:name="_Toc267060222"/>
      <w:bookmarkStart w:id="317" w:name="_Toc251586247"/>
      <w:bookmarkStart w:id="318" w:name="_Toc267059659"/>
      <w:bookmarkStart w:id="319" w:name="_Toc267059545"/>
      <w:bookmarkStart w:id="320" w:name="_Toc235438358"/>
      <w:bookmarkStart w:id="321" w:name="_Toc249325726"/>
      <w:bookmarkStart w:id="322" w:name="_Toc259692664"/>
      <w:bookmarkStart w:id="323" w:name="_Toc23543828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w:t>
      </w:r>
      <w:r>
        <w:rPr>
          <w:rFonts w:ascii="仿宋" w:hAnsi="仿宋" w:eastAsia="仿宋"/>
          <w:sz w:val="28"/>
          <w:szCs w:val="28"/>
        </w:rPr>
        <w:t>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jc w:val="center"/>
        <w:rPr>
          <w:rFonts w:ascii="仿宋" w:hAnsi="仿宋" w:eastAsia="仿宋"/>
          <w:b/>
          <w:bCs/>
          <w:sz w:val="28"/>
          <w:szCs w:val="28"/>
        </w:rPr>
      </w:pPr>
      <w:r>
        <w:rPr>
          <w:rFonts w:hint="eastAsia" w:ascii="仿宋" w:hAnsi="仿宋" w:eastAsia="仿宋"/>
          <w:b/>
          <w:bCs/>
          <w:sz w:val="28"/>
          <w:szCs w:val="28"/>
          <w:lang w:val="en-US" w:eastAsia="zh-CN"/>
        </w:rPr>
        <w:t>5.</w:t>
      </w:r>
      <w:r>
        <w:rPr>
          <w:rFonts w:hint="eastAsia" w:ascii="仿宋" w:hAnsi="仿宋" w:eastAsia="仿宋"/>
          <w:b/>
          <w:bCs/>
          <w:sz w:val="28"/>
          <w:szCs w:val="28"/>
        </w:rPr>
        <w:t>商务偏离表</w:t>
      </w:r>
      <w:r>
        <w:rPr>
          <w:rFonts w:hint="eastAsia" w:ascii="仿宋" w:hAnsi="仿宋" w:eastAsia="仿宋"/>
          <w:b/>
          <w:bCs/>
          <w:sz w:val="28"/>
          <w:szCs w:val="28"/>
        </w:rPr>
        <w:cr/>
      </w:r>
    </w:p>
    <w:p>
      <w:pPr>
        <w:spacing w:line="380" w:lineRule="exact"/>
        <w:ind w:firstLine="280" w:firstLineChars="100"/>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（全称并加盖公章）</w:t>
      </w:r>
      <w:r>
        <w:rPr>
          <w:rFonts w:hint="eastAsia" w:ascii="仿宋" w:hAnsi="仿宋" w:eastAsia="仿宋"/>
          <w:sz w:val="28"/>
          <w:szCs w:val="28"/>
        </w:rPr>
        <w:t xml:space="preserve">                  </w:t>
      </w:r>
      <w:r>
        <w:rPr>
          <w:rFonts w:hint="eastAsia" w:ascii="仿宋" w:hAnsi="仿宋" w:eastAsia="仿宋"/>
          <w:sz w:val="28"/>
          <w:szCs w:val="28"/>
          <w:lang w:val="en-US" w:eastAsia="zh-CN"/>
        </w:rPr>
        <w:t>项目</w:t>
      </w:r>
      <w:r>
        <w:rPr>
          <w:rFonts w:hint="eastAsia" w:ascii="仿宋" w:hAnsi="仿宋" w:eastAsia="仿宋"/>
          <w:sz w:val="28"/>
          <w:szCs w:val="28"/>
        </w:rPr>
        <w:t>编号∶</w:t>
      </w:r>
    </w:p>
    <w:tbl>
      <w:tblPr>
        <w:tblStyle w:val="2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75"/>
        <w:gridCol w:w="2878"/>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blHeader/>
          <w:jc w:val="center"/>
        </w:trPr>
        <w:tc>
          <w:tcPr>
            <w:tcW w:w="1129"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货物</w:t>
            </w:r>
          </w:p>
          <w:p>
            <w:pPr>
              <w:spacing w:after="0" w:line="360" w:lineRule="auto"/>
              <w:jc w:val="center"/>
              <w:rPr>
                <w:rFonts w:ascii="仿宋" w:hAnsi="仿宋" w:eastAsia="仿宋"/>
                <w:sz w:val="28"/>
                <w:szCs w:val="28"/>
                <w:lang w:val="zh-CN"/>
              </w:rPr>
            </w:pPr>
            <w:r>
              <w:rPr>
                <w:rFonts w:hint="eastAsia" w:ascii="仿宋" w:hAnsi="仿宋" w:eastAsia="仿宋"/>
                <w:sz w:val="28"/>
                <w:szCs w:val="28"/>
                <w:lang w:val="zh-CN"/>
              </w:rPr>
              <w:t>编号</w:t>
            </w:r>
          </w:p>
        </w:tc>
        <w:tc>
          <w:tcPr>
            <w:tcW w:w="2775" w:type="dxa"/>
            <w:shd w:val="clear" w:color="auto" w:fill="auto"/>
            <w:vAlign w:val="center"/>
          </w:tcPr>
          <w:p>
            <w:pPr>
              <w:spacing w:after="0" w:line="360" w:lineRule="auto"/>
              <w:jc w:val="center"/>
              <w:rPr>
                <w:rFonts w:ascii="仿宋" w:hAnsi="仿宋" w:eastAsia="仿宋"/>
                <w:sz w:val="28"/>
                <w:szCs w:val="28"/>
                <w:lang w:val="zh-CN"/>
              </w:rPr>
            </w:pPr>
            <w:r>
              <w:rPr>
                <w:rFonts w:hint="eastAsia" w:ascii="仿宋" w:hAnsi="仿宋" w:eastAsia="仿宋"/>
                <w:sz w:val="28"/>
                <w:szCs w:val="28"/>
                <w:lang w:val="en-US" w:eastAsia="zh-CN"/>
              </w:rPr>
              <w:t>询价</w:t>
            </w:r>
            <w:r>
              <w:rPr>
                <w:rFonts w:hint="eastAsia" w:ascii="仿宋" w:hAnsi="仿宋" w:eastAsia="仿宋"/>
                <w:sz w:val="28"/>
                <w:szCs w:val="28"/>
                <w:lang w:val="zh-CN"/>
              </w:rPr>
              <w:t>文件规定的</w:t>
            </w:r>
          </w:p>
          <w:p>
            <w:pPr>
              <w:spacing w:line="360" w:lineRule="auto"/>
              <w:jc w:val="center"/>
              <w:rPr>
                <w:rFonts w:ascii="仿宋" w:hAnsi="仿宋" w:eastAsia="仿宋"/>
                <w:sz w:val="28"/>
                <w:szCs w:val="28"/>
                <w:lang w:val="zh-CN"/>
              </w:rPr>
            </w:pPr>
            <w:r>
              <w:rPr>
                <w:rFonts w:hint="eastAsia" w:ascii="仿宋" w:hAnsi="仿宋" w:eastAsia="仿宋"/>
                <w:sz w:val="28"/>
                <w:szCs w:val="28"/>
                <w:lang w:val="zh-CN"/>
              </w:rPr>
              <w:t>商务要求</w:t>
            </w:r>
          </w:p>
        </w:tc>
        <w:tc>
          <w:tcPr>
            <w:tcW w:w="2878"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响应的商务要求内容</w:t>
            </w:r>
          </w:p>
        </w:tc>
        <w:tc>
          <w:tcPr>
            <w:tcW w:w="2270" w:type="dxa"/>
            <w:shd w:val="clear" w:color="auto" w:fill="auto"/>
            <w:vAlign w:val="center"/>
          </w:tcPr>
          <w:p>
            <w:pPr>
              <w:spacing w:line="360" w:lineRule="auto"/>
              <w:jc w:val="center"/>
              <w:rPr>
                <w:rFonts w:ascii="仿宋" w:hAnsi="仿宋" w:eastAsia="仿宋"/>
                <w:sz w:val="28"/>
                <w:szCs w:val="28"/>
                <w:lang w:val="zh-CN"/>
              </w:rPr>
            </w:pPr>
            <w:r>
              <w:rPr>
                <w:rFonts w:hint="eastAsia" w:ascii="仿宋" w:hAnsi="仿宋" w:eastAsia="仿宋"/>
                <w:sz w:val="28"/>
                <w:szCs w:val="28"/>
                <w:lang w:val="zh-CN"/>
              </w:rPr>
              <w:t>偏离详细说明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1129" w:type="dxa"/>
          </w:tcPr>
          <w:p>
            <w:pPr>
              <w:spacing w:line="360" w:lineRule="auto"/>
              <w:rPr>
                <w:rFonts w:ascii="仿宋" w:hAnsi="仿宋" w:eastAsia="仿宋"/>
                <w:sz w:val="28"/>
                <w:szCs w:val="28"/>
                <w:lang w:val="zh-CN"/>
              </w:rPr>
            </w:pPr>
          </w:p>
        </w:tc>
        <w:tc>
          <w:tcPr>
            <w:tcW w:w="2775" w:type="dxa"/>
          </w:tcPr>
          <w:p>
            <w:pPr>
              <w:spacing w:line="360" w:lineRule="auto"/>
              <w:rPr>
                <w:rFonts w:ascii="仿宋" w:hAnsi="仿宋" w:eastAsia="仿宋"/>
                <w:sz w:val="28"/>
                <w:szCs w:val="28"/>
                <w:lang w:val="zh-CN"/>
              </w:rPr>
            </w:pPr>
          </w:p>
        </w:tc>
        <w:tc>
          <w:tcPr>
            <w:tcW w:w="2878" w:type="dxa"/>
          </w:tcPr>
          <w:p>
            <w:pPr>
              <w:spacing w:line="360" w:lineRule="auto"/>
              <w:rPr>
                <w:rFonts w:ascii="仿宋" w:hAnsi="仿宋" w:eastAsia="仿宋"/>
                <w:sz w:val="28"/>
                <w:szCs w:val="28"/>
                <w:lang w:val="zh-CN"/>
              </w:rPr>
            </w:pPr>
          </w:p>
        </w:tc>
        <w:tc>
          <w:tcPr>
            <w:tcW w:w="2270" w:type="dxa"/>
          </w:tcPr>
          <w:p>
            <w:pPr>
              <w:spacing w:line="360" w:lineRule="auto"/>
              <w:rPr>
                <w:rFonts w:ascii="仿宋" w:hAnsi="仿宋" w:eastAsia="仿宋"/>
                <w:sz w:val="28"/>
                <w:szCs w:val="28"/>
                <w:lang w:val="zh-CN"/>
              </w:rPr>
            </w:pPr>
          </w:p>
        </w:tc>
      </w:tr>
    </w:tbl>
    <w:p>
      <w:pPr>
        <w:spacing w:line="380" w:lineRule="exact"/>
        <w:rPr>
          <w:rFonts w:ascii="仿宋" w:hAnsi="仿宋" w:eastAsia="仿宋"/>
          <w:sz w:val="28"/>
          <w:szCs w:val="28"/>
        </w:rPr>
      </w:pPr>
    </w:p>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1001938744"/>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1705238520"/>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 w:hAnsi="仿宋" w:eastAsia="仿宋" w:cs="仿宋"/>
      </w:rPr>
      <w:id w:val="-467357217"/>
      <w:docPartObj>
        <w:docPartGallery w:val="autotext"/>
      </w:docPartObj>
    </w:sdtPr>
    <w:sdtEndPr>
      <w:rPr>
        <w:rFonts w:hint="eastAsia" w:ascii="仿宋" w:hAnsi="仿宋" w:eastAsia="仿宋" w:cs="仿宋"/>
      </w:rPr>
    </w:sdtEndPr>
    <w:sdtContent>
      <w:sdt>
        <w:sdtPr>
          <w:rPr>
            <w:rFonts w:hint="eastAsia" w:ascii="仿宋" w:hAnsi="仿宋" w:eastAsia="仿宋" w:cs="仿宋"/>
          </w:rPr>
          <w:id w:val="455225834"/>
          <w:docPartObj>
            <w:docPartGallery w:val="autotext"/>
          </w:docPartObj>
        </w:sdtPr>
        <w:sdtEndPr>
          <w:rPr>
            <w:rFonts w:hint="eastAsia" w:ascii="仿宋" w:hAnsi="仿宋" w:eastAsia="仿宋" w:cs="仿宋"/>
          </w:rPr>
        </w:sdtEndPr>
        <w:sdtContent>
          <w:p>
            <w:pPr>
              <w:pStyle w:val="16"/>
              <w:jc w:val="center"/>
              <w:rPr>
                <w:b/>
                <w:bCs/>
                <w:sz w:val="24"/>
                <w:szCs w:val="24"/>
              </w:rPr>
            </w:pPr>
            <w:r>
              <w:rPr>
                <w:rFonts w:hint="eastAsia" w:ascii="仿宋" w:hAnsi="仿宋" w:eastAsia="仿宋" w:cs="仿宋"/>
                <w:lang w:val="zh-CN"/>
              </w:rPr>
              <w:t xml:space="preserve"> </w:t>
            </w:r>
            <w:r>
              <w:rPr>
                <w:rFonts w:hint="eastAsia" w:ascii="仿宋" w:hAnsi="仿宋" w:eastAsia="仿宋" w:cs="仿宋"/>
                <w:b/>
                <w:bCs/>
                <w:sz w:val="24"/>
                <w:szCs w:val="24"/>
              </w:rPr>
              <w:fldChar w:fldCharType="begin"/>
            </w:r>
            <w:r>
              <w:rPr>
                <w:rFonts w:hint="eastAsia" w:ascii="仿宋" w:hAnsi="仿宋" w:eastAsia="仿宋" w:cs="仿宋"/>
                <w:b/>
                <w:bCs/>
              </w:rPr>
              <w:instrText xml:space="preserve">PAGE</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lang w:val="zh-CN"/>
              </w:rPr>
              <w:t xml:space="preserve"> / </w:t>
            </w:r>
            <w:r>
              <w:rPr>
                <w:rFonts w:hint="eastAsia" w:ascii="仿宋" w:hAnsi="仿宋" w:eastAsia="仿宋" w:cs="仿宋"/>
                <w:b/>
                <w:bCs/>
                <w:sz w:val="24"/>
                <w:szCs w:val="24"/>
              </w:rPr>
              <w:fldChar w:fldCharType="begin"/>
            </w:r>
            <w:r>
              <w:rPr>
                <w:rFonts w:hint="eastAsia" w:ascii="仿宋" w:hAnsi="仿宋" w:eastAsia="仿宋" w:cs="仿宋"/>
                <w:b/>
                <w:bCs/>
              </w:rPr>
              <w:instrText xml:space="preserve">NUMPAGES</w:instrText>
            </w:r>
            <w:r>
              <w:rPr>
                <w:rFonts w:hint="eastAsia" w:ascii="仿宋" w:hAnsi="仿宋" w:eastAsia="仿宋" w:cs="仿宋"/>
                <w:b/>
                <w:bCs/>
                <w:sz w:val="24"/>
                <w:szCs w:val="24"/>
              </w:rPr>
              <w:fldChar w:fldCharType="separate"/>
            </w:r>
            <w:r>
              <w:rPr>
                <w:rFonts w:hint="eastAsia" w:ascii="仿宋" w:hAnsi="仿宋" w:eastAsia="仿宋" w:cs="仿宋"/>
                <w:b/>
                <w:bCs/>
                <w:lang w:val="zh-CN"/>
              </w:rPr>
              <w:t>2</w:t>
            </w:r>
            <w:r>
              <w:rPr>
                <w:rFonts w:hint="eastAsia" w:ascii="仿宋" w:hAnsi="仿宋" w:eastAsia="仿宋" w:cs="仿宋"/>
                <w:b/>
                <w:bCs/>
                <w:sz w:val="24"/>
                <w:szCs w:val="24"/>
              </w:rPr>
              <w:fldChar w:fldCharType="end"/>
            </w:r>
            <w:r>
              <w:rPr>
                <w:rFonts w:hint="eastAsia" w:ascii="仿宋" w:hAnsi="仿宋" w:eastAsia="仿宋" w:cs="仿宋"/>
                <w:b/>
                <w:bCs/>
                <w:sz w:val="24"/>
                <w:szCs w:val="24"/>
              </w:rPr>
              <w:t xml:space="preserve">   </w:t>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297305" cy="383540"/>
          <wp:effectExtent l="0" t="0" r="17145" b="16510"/>
          <wp:docPr id="2" name="图片 2"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297305" cy="383540"/>
          <wp:effectExtent l="0" t="0" r="17145" b="16510"/>
          <wp:docPr id="1" name="图片 1"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274B1AB3"/>
    <w:rsid w:val="3CA02561"/>
    <w:rsid w:val="3D5A301B"/>
    <w:rsid w:val="3E94072A"/>
    <w:rsid w:val="50317284"/>
    <w:rsid w:val="56A97431"/>
    <w:rsid w:val="760B0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2</TotalTime>
  <ScaleCrop>false</ScaleCrop>
  <LinksUpToDate>false</LinksUpToDate>
  <CharactersWithSpaces>3430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cp:lastPrinted>2020-11-02T01:52:00Z</cp:lastPrinted>
  <dcterms:modified xsi:type="dcterms:W3CDTF">2020-11-02T08:55:51Z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